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8661" w14:textId="77777777" w:rsidR="00D50582" w:rsidRDefault="00D50582" w:rsidP="00D50582">
      <w:pPr>
        <w:pStyle w:val="Heading1"/>
        <w:jc w:val="center"/>
      </w:pPr>
      <w:r>
        <w:t>ANNEX</w:t>
      </w:r>
    </w:p>
    <w:p w14:paraId="1170F4D5" w14:textId="77777777" w:rsidR="00D50582" w:rsidRDefault="00D50582" w:rsidP="00D50582">
      <w:pPr>
        <w:pStyle w:val="Heading1"/>
        <w:jc w:val="center"/>
      </w:pPr>
      <w:r>
        <w:rPr>
          <w:sz w:val="30"/>
        </w:rPr>
        <w:t>Evidence Review and Framework for Action</w:t>
      </w:r>
    </w:p>
    <w:p w14:paraId="356D4EB2" w14:textId="77777777" w:rsidR="00D50582" w:rsidRDefault="00D50582" w:rsidP="00D50582">
      <w:pPr>
        <w:jc w:val="center"/>
      </w:pPr>
      <w:r>
        <w:t>Supporting document to the Draft Consensus Statement on Workplace Health in Creative Industries</w:t>
      </w:r>
      <w:r>
        <w:br/>
      </w:r>
      <w:r>
        <w:rPr>
          <w:i/>
        </w:rPr>
        <w:t>August 2026</w:t>
      </w:r>
    </w:p>
    <w:p w14:paraId="3D70C8CC" w14:textId="77777777" w:rsidR="00D50582" w:rsidRPr="003348BD" w:rsidRDefault="00D50582" w:rsidP="00D50582">
      <w:pPr>
        <w:pStyle w:val="Heading1"/>
      </w:pPr>
      <w:r w:rsidRPr="003348BD">
        <w:t>Purpose of this annex</w:t>
      </w:r>
    </w:p>
    <w:p w14:paraId="2AD4148D" w14:textId="77777777" w:rsidR="00D50582" w:rsidRPr="003348BD" w:rsidRDefault="00D50582" w:rsidP="00D50582">
      <w:pPr>
        <w:rPr>
          <w:rFonts w:ascii="Arial" w:hAnsi="Arial" w:cs="Arial"/>
        </w:rPr>
      </w:pPr>
      <w:r w:rsidRPr="003348BD">
        <w:rPr>
          <w:rFonts w:ascii="Arial" w:hAnsi="Arial" w:cs="Arial"/>
        </w:rPr>
        <w:t>This annex provides the evidence framework supporting the Draft Consensus Statement on Workplace Health in Creative Industries. It is intended to explain why workplace health is important to the Creative Industries, identify the distinctive features of creative work that need to be considered, summarise the evidence and policy context already identified through the consensus development process, and provide a practical framework for implementation.</w:t>
      </w:r>
    </w:p>
    <w:p w14:paraId="252521EB" w14:textId="77777777" w:rsidR="00D50582" w:rsidRPr="003348BD" w:rsidRDefault="00D50582" w:rsidP="00D50582">
      <w:pPr>
        <w:rPr>
          <w:rFonts w:ascii="Arial" w:hAnsi="Arial" w:cs="Arial"/>
        </w:rPr>
      </w:pPr>
      <w:r w:rsidRPr="003348BD">
        <w:rPr>
          <w:rFonts w:ascii="Arial" w:hAnsi="Arial" w:cs="Arial"/>
        </w:rPr>
        <w:t>The annex is deliberately designed as a supporting document rather than a comprehensive systematic review. It retains the evidence and sources identified in the draft engagement document and identifies areas where further evidence, evaluation and research would strengthen implementation.</w:t>
      </w:r>
    </w:p>
    <w:p w14:paraId="1C92ECCB" w14:textId="77777777" w:rsidR="00D50582" w:rsidRPr="003348BD" w:rsidRDefault="00D50582" w:rsidP="00D50582">
      <w:pPr>
        <w:pStyle w:val="Heading1"/>
      </w:pPr>
      <w:r w:rsidRPr="003348BD">
        <w:t>1. Executive summary</w:t>
      </w:r>
    </w:p>
    <w:p w14:paraId="4B92F8F8" w14:textId="77777777" w:rsidR="00D50582" w:rsidRPr="003348BD" w:rsidRDefault="00D50582" w:rsidP="00D50582">
      <w:pPr>
        <w:pStyle w:val="ListBullet"/>
        <w:tabs>
          <w:tab w:val="num" w:pos="360"/>
        </w:tabs>
        <w:ind w:left="360" w:hanging="360"/>
        <w:rPr>
          <w:rFonts w:cs="Arial"/>
          <w:sz w:val="24"/>
          <w:szCs w:val="24"/>
        </w:rPr>
      </w:pPr>
      <w:proofErr w:type="gramStart"/>
      <w:r w:rsidRPr="003348BD">
        <w:rPr>
          <w:rFonts w:cs="Arial"/>
          <w:sz w:val="24"/>
          <w:szCs w:val="24"/>
        </w:rPr>
        <w:t>The Creative</w:t>
      </w:r>
      <w:proofErr w:type="gramEnd"/>
      <w:r w:rsidRPr="003348BD">
        <w:rPr>
          <w:rFonts w:cs="Arial"/>
          <w:sz w:val="24"/>
          <w:szCs w:val="24"/>
        </w:rPr>
        <w:t xml:space="preserve"> Industries are a major contributor to the UK economy and wider cultural and social life. The sector contributed an estimated £145.8 billion to UK economic output and supported approximately 2.4 million jobs, representing around 7% of UK jobs, in the period covered by the draft </w:t>
      </w:r>
      <w:proofErr w:type="gramStart"/>
      <w:r w:rsidRPr="003348BD">
        <w:rPr>
          <w:rFonts w:cs="Arial"/>
          <w:sz w:val="24"/>
          <w:szCs w:val="24"/>
        </w:rPr>
        <w:t>consensus.(</w:t>
      </w:r>
      <w:proofErr w:type="gramEnd"/>
      <w:r w:rsidRPr="003348BD">
        <w:rPr>
          <w:rFonts w:cs="Arial"/>
          <w:sz w:val="24"/>
          <w:szCs w:val="24"/>
        </w:rPr>
        <w:footnoteReference w:id="1"/>
      </w:r>
      <w:r w:rsidRPr="003348BD">
        <w:rPr>
          <w:rFonts w:cs="Arial"/>
          <w:sz w:val="24"/>
          <w:szCs w:val="24"/>
        </w:rPr>
        <w:t>)</w:t>
      </w:r>
    </w:p>
    <w:p w14:paraId="60661809"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 xml:space="preserve">The Creative Industries have distinctive employment and working arrangements. The draft identifies a self-employment rate of 28%, compared with 14% nationally, alongside extensive freelance, fixed-term and project-based </w:t>
      </w:r>
      <w:proofErr w:type="gramStart"/>
      <w:r w:rsidRPr="003348BD">
        <w:rPr>
          <w:rFonts w:cs="Arial"/>
          <w:sz w:val="24"/>
          <w:szCs w:val="24"/>
        </w:rPr>
        <w:t>working</w:t>
      </w:r>
      <w:proofErr w:type="gramEnd"/>
      <w:r w:rsidRPr="003348BD">
        <w:rPr>
          <w:rFonts w:cs="Arial"/>
          <w:sz w:val="24"/>
          <w:szCs w:val="24"/>
        </w:rPr>
        <w:t xml:space="preserve"> and strong competition for opportunities.</w:t>
      </w:r>
    </w:p>
    <w:p w14:paraId="47B4F839"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 xml:space="preserve">These characteristics can create </w:t>
      </w:r>
      <w:proofErr w:type="gramStart"/>
      <w:r w:rsidRPr="003348BD">
        <w:rPr>
          <w:rFonts w:cs="Arial"/>
          <w:sz w:val="24"/>
          <w:szCs w:val="24"/>
        </w:rPr>
        <w:t>particular challenges</w:t>
      </w:r>
      <w:proofErr w:type="gramEnd"/>
      <w:r w:rsidRPr="003348BD">
        <w:rPr>
          <w:rFonts w:cs="Arial"/>
          <w:sz w:val="24"/>
          <w:szCs w:val="24"/>
        </w:rPr>
        <w:t xml:space="preserve"> for workplace health, including continuity of employment and support, financial security, access to occupational health and HR services, and the ability to take time away from work when unwell.</w:t>
      </w:r>
    </w:p>
    <w:p w14:paraId="04A36C37"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 xml:space="preserve">Workplace health should be understood broadly. It includes prevention of work-related illness and injury, healthy and safe working environments, physical and </w:t>
      </w:r>
      <w:r w:rsidRPr="003348BD">
        <w:rPr>
          <w:rFonts w:cs="Arial"/>
          <w:sz w:val="24"/>
          <w:szCs w:val="24"/>
        </w:rPr>
        <w:lastRenderedPageBreak/>
        <w:t>mental health, support for people with non-occupational health conditions, reasonable adjustments, rehabilitation and retention.</w:t>
      </w:r>
    </w:p>
    <w:p w14:paraId="0C7B34BA"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Existing initiatives demonstrate substantial activity across the Creative Industries, including work in film and television, music and dance, alongside wider Government and professional health-and-work policy. However, the evidence and activity are dispersed across subsectors and employment models.</w:t>
      </w:r>
    </w:p>
    <w:p w14:paraId="6DA286A1"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A cross-sector consensus provides an opportunity to establish a common ambition and language, connect existing activity, promote good practice, embed workplace health in education and professional standards, and strengthen collaboration between the Creative Industries and occupational health and health-and-work sectors.</w:t>
      </w:r>
    </w:p>
    <w:p w14:paraId="0F13BE22" w14:textId="77777777" w:rsidR="00D50582" w:rsidRPr="00BB3DDB" w:rsidRDefault="00D50582" w:rsidP="00D50582">
      <w:pPr>
        <w:pStyle w:val="Heading1"/>
      </w:pPr>
      <w:r w:rsidRPr="00BB3DDB">
        <w:t>2. Why workplace health matters in the Creative Industries</w:t>
      </w:r>
    </w:p>
    <w:p w14:paraId="0371EAB5" w14:textId="77777777" w:rsidR="00D50582" w:rsidRPr="003348BD" w:rsidRDefault="00D50582" w:rsidP="00D50582">
      <w:pPr>
        <w:rPr>
          <w:rFonts w:ascii="Arial" w:hAnsi="Arial" w:cs="Arial"/>
        </w:rPr>
      </w:pPr>
      <w:r w:rsidRPr="003348BD">
        <w:rPr>
          <w:rFonts w:ascii="Arial" w:hAnsi="Arial" w:cs="Arial"/>
        </w:rPr>
        <w:t>The relationship between employment and health is fundamental. Good work can provide income, purpose, fulfilment, social connection and identity, while poor working conditions and unhealthy workplace environments can harm physical and mental health. The consensus therefore treats work both as a determinant of health and as an important health outcome.</w:t>
      </w:r>
    </w:p>
    <w:p w14:paraId="4445D8C0" w14:textId="77777777" w:rsidR="00D50582" w:rsidRPr="003348BD" w:rsidRDefault="00D50582" w:rsidP="00D50582">
      <w:pPr>
        <w:rPr>
          <w:rFonts w:ascii="Arial" w:hAnsi="Arial" w:cs="Arial"/>
        </w:rPr>
      </w:pPr>
      <w:r w:rsidRPr="003348BD">
        <w:rPr>
          <w:rFonts w:ascii="Arial" w:hAnsi="Arial" w:cs="Arial"/>
        </w:rPr>
        <w:t>The Creative Industries comprise a diverse landscape of organisations, businesses and individuals working across areas including performing arts, music, film and television, publishing and other creative activity. The workforce includes employees, freelancers, self-employed people, independent practitioners, fixed-term and project-based workers and volunteers. This diversity creates strengths but also means that access to conventional employer-based workplace health infrastructure may vary substantially.</w:t>
      </w:r>
    </w:p>
    <w:p w14:paraId="46992407" w14:textId="77777777" w:rsidR="00D50582" w:rsidRPr="003348BD" w:rsidRDefault="00D50582" w:rsidP="00D50582">
      <w:pPr>
        <w:rPr>
          <w:rFonts w:ascii="Arial" w:hAnsi="Arial" w:cs="Arial"/>
        </w:rPr>
      </w:pPr>
      <w:r w:rsidRPr="003348BD">
        <w:rPr>
          <w:rFonts w:ascii="Arial" w:hAnsi="Arial" w:cs="Arial"/>
        </w:rPr>
        <w:t>The health of the workforce is inseparable from the sustainability of the sector. Healthy workplaces can support productivity, recruitment, retention, innovation and organisational resilience. Conversely, preventable ill health, loss of experienced workers and difficulty retaining people with health conditions can affect employers, skills and the wider sector.</w:t>
      </w:r>
    </w:p>
    <w:p w14:paraId="7C07F80E" w14:textId="77777777" w:rsidR="00D50582" w:rsidRPr="00BB3DDB" w:rsidRDefault="00D50582" w:rsidP="00D50582">
      <w:pPr>
        <w:pStyle w:val="Heading1"/>
      </w:pPr>
      <w:r w:rsidRPr="00BB3DDB">
        <w:t>3. Distinctive characteristics of creative work</w:t>
      </w:r>
    </w:p>
    <w:tbl>
      <w:tblPr>
        <w:tblStyle w:val="TableGrid"/>
        <w:tblW w:w="0" w:type="auto"/>
        <w:tblLook w:val="04A0" w:firstRow="1" w:lastRow="0" w:firstColumn="1" w:lastColumn="0" w:noHBand="0" w:noVBand="1"/>
      </w:tblPr>
      <w:tblGrid>
        <w:gridCol w:w="2979"/>
        <w:gridCol w:w="2967"/>
        <w:gridCol w:w="3070"/>
      </w:tblGrid>
      <w:tr w:rsidR="00D50582" w:rsidRPr="003348BD" w14:paraId="66A17C4E" w14:textId="77777777" w:rsidTr="00D9723E">
        <w:tc>
          <w:tcPr>
            <w:tcW w:w="3264" w:type="dxa"/>
          </w:tcPr>
          <w:p w14:paraId="58C43748" w14:textId="77777777" w:rsidR="00D50582" w:rsidRPr="003348BD" w:rsidRDefault="00D50582" w:rsidP="00D9723E">
            <w:pPr>
              <w:rPr>
                <w:rFonts w:ascii="Arial" w:hAnsi="Arial" w:cs="Arial"/>
              </w:rPr>
            </w:pPr>
            <w:r w:rsidRPr="003348BD">
              <w:rPr>
                <w:rFonts w:ascii="Arial" w:hAnsi="Arial" w:cs="Arial"/>
              </w:rPr>
              <w:t>Characteristic</w:t>
            </w:r>
          </w:p>
        </w:tc>
        <w:tc>
          <w:tcPr>
            <w:tcW w:w="3264" w:type="dxa"/>
          </w:tcPr>
          <w:p w14:paraId="7A89AB48" w14:textId="77777777" w:rsidR="00D50582" w:rsidRPr="003348BD" w:rsidRDefault="00D50582" w:rsidP="00D9723E">
            <w:pPr>
              <w:rPr>
                <w:rFonts w:ascii="Arial" w:hAnsi="Arial" w:cs="Arial"/>
              </w:rPr>
            </w:pPr>
            <w:r w:rsidRPr="003348BD">
              <w:rPr>
                <w:rFonts w:ascii="Arial" w:hAnsi="Arial" w:cs="Arial"/>
              </w:rPr>
              <w:t>Potential workplace-health implication</w:t>
            </w:r>
          </w:p>
        </w:tc>
        <w:tc>
          <w:tcPr>
            <w:tcW w:w="3264" w:type="dxa"/>
          </w:tcPr>
          <w:p w14:paraId="0E7CD91A" w14:textId="77777777" w:rsidR="00D50582" w:rsidRPr="003348BD" w:rsidRDefault="00D50582" w:rsidP="00D9723E">
            <w:pPr>
              <w:rPr>
                <w:rFonts w:ascii="Arial" w:hAnsi="Arial" w:cs="Arial"/>
              </w:rPr>
            </w:pPr>
            <w:r w:rsidRPr="003348BD">
              <w:rPr>
                <w:rFonts w:ascii="Arial" w:hAnsi="Arial" w:cs="Arial"/>
              </w:rPr>
              <w:t>Evidence/resource already identified</w:t>
            </w:r>
          </w:p>
        </w:tc>
      </w:tr>
      <w:tr w:rsidR="00D50582" w:rsidRPr="003348BD" w14:paraId="297A8738" w14:textId="77777777" w:rsidTr="00D9723E">
        <w:tc>
          <w:tcPr>
            <w:tcW w:w="3264" w:type="dxa"/>
          </w:tcPr>
          <w:p w14:paraId="5C2AAF93" w14:textId="77777777" w:rsidR="00D50582" w:rsidRPr="003348BD" w:rsidRDefault="00D50582" w:rsidP="00D9723E">
            <w:pPr>
              <w:rPr>
                <w:rFonts w:ascii="Arial" w:hAnsi="Arial" w:cs="Arial"/>
              </w:rPr>
            </w:pPr>
            <w:r w:rsidRPr="003348BD">
              <w:rPr>
                <w:rFonts w:ascii="Arial" w:hAnsi="Arial" w:cs="Arial"/>
              </w:rPr>
              <w:t>High self-employment and freelance working</w:t>
            </w:r>
          </w:p>
        </w:tc>
        <w:tc>
          <w:tcPr>
            <w:tcW w:w="3264" w:type="dxa"/>
          </w:tcPr>
          <w:p w14:paraId="6C9E822D" w14:textId="77777777" w:rsidR="00D50582" w:rsidRPr="003348BD" w:rsidRDefault="00D50582" w:rsidP="00D9723E">
            <w:pPr>
              <w:rPr>
                <w:rFonts w:ascii="Arial" w:hAnsi="Arial" w:cs="Arial"/>
              </w:rPr>
            </w:pPr>
            <w:r w:rsidRPr="003348BD">
              <w:rPr>
                <w:rFonts w:ascii="Arial" w:hAnsi="Arial" w:cs="Arial"/>
              </w:rPr>
              <w:t xml:space="preserve">Potentially fragmented responsibility for health, safety, HR, occupational health and rehabilitation; </w:t>
            </w:r>
            <w:r w:rsidRPr="003348BD">
              <w:rPr>
                <w:rFonts w:ascii="Arial" w:hAnsi="Arial" w:cs="Arial"/>
              </w:rPr>
              <w:lastRenderedPageBreak/>
              <w:t>variable access to benefits and support.</w:t>
            </w:r>
          </w:p>
        </w:tc>
        <w:tc>
          <w:tcPr>
            <w:tcW w:w="3264" w:type="dxa"/>
          </w:tcPr>
          <w:p w14:paraId="17F4E825" w14:textId="77777777" w:rsidR="00D50582" w:rsidRPr="003348BD" w:rsidRDefault="00D50582" w:rsidP="00D9723E">
            <w:pPr>
              <w:rPr>
                <w:rFonts w:ascii="Arial" w:hAnsi="Arial" w:cs="Arial"/>
              </w:rPr>
            </w:pPr>
            <w:r w:rsidRPr="003348BD">
              <w:rPr>
                <w:rFonts w:ascii="Arial" w:hAnsi="Arial" w:cs="Arial"/>
              </w:rPr>
              <w:lastRenderedPageBreak/>
              <w:t>DCMS/Creative Industries workforce evidence; Musicians’ Census; freelance dance research.</w:t>
            </w:r>
          </w:p>
        </w:tc>
      </w:tr>
      <w:tr w:rsidR="00D50582" w:rsidRPr="003348BD" w14:paraId="3F085F08" w14:textId="77777777" w:rsidTr="00D9723E">
        <w:tc>
          <w:tcPr>
            <w:tcW w:w="3264" w:type="dxa"/>
          </w:tcPr>
          <w:p w14:paraId="5CA23686" w14:textId="77777777" w:rsidR="00D50582" w:rsidRPr="003348BD" w:rsidRDefault="00D50582" w:rsidP="00D9723E">
            <w:pPr>
              <w:rPr>
                <w:rFonts w:ascii="Arial" w:hAnsi="Arial" w:cs="Arial"/>
              </w:rPr>
            </w:pPr>
            <w:r w:rsidRPr="003348BD">
              <w:rPr>
                <w:rFonts w:ascii="Arial" w:hAnsi="Arial" w:cs="Arial"/>
              </w:rPr>
              <w:t>Fixed-term, project-based and portfolio careers</w:t>
            </w:r>
          </w:p>
        </w:tc>
        <w:tc>
          <w:tcPr>
            <w:tcW w:w="3264" w:type="dxa"/>
          </w:tcPr>
          <w:p w14:paraId="5612A1F2" w14:textId="77777777" w:rsidR="00D50582" w:rsidRPr="003348BD" w:rsidRDefault="00D50582" w:rsidP="00D9723E">
            <w:pPr>
              <w:rPr>
                <w:rFonts w:ascii="Arial" w:hAnsi="Arial" w:cs="Arial"/>
              </w:rPr>
            </w:pPr>
            <w:r w:rsidRPr="003348BD">
              <w:rPr>
                <w:rFonts w:ascii="Arial" w:hAnsi="Arial" w:cs="Arial"/>
              </w:rPr>
              <w:t>Continuity of support may be limited; people may move rapidly between employers, projects and employment statuses.</w:t>
            </w:r>
          </w:p>
        </w:tc>
        <w:tc>
          <w:tcPr>
            <w:tcW w:w="3264" w:type="dxa"/>
          </w:tcPr>
          <w:p w14:paraId="23DBB701" w14:textId="77777777" w:rsidR="00D50582" w:rsidRPr="003348BD" w:rsidRDefault="00D50582" w:rsidP="00D9723E">
            <w:pPr>
              <w:rPr>
                <w:rFonts w:ascii="Arial" w:hAnsi="Arial" w:cs="Arial"/>
              </w:rPr>
            </w:pPr>
            <w:r w:rsidRPr="003348BD">
              <w:rPr>
                <w:rFonts w:ascii="Arial" w:hAnsi="Arial" w:cs="Arial"/>
              </w:rPr>
              <w:t>Creative workforce and subsector reports.</w:t>
            </w:r>
          </w:p>
        </w:tc>
      </w:tr>
      <w:tr w:rsidR="00D50582" w:rsidRPr="003348BD" w14:paraId="24167D69" w14:textId="77777777" w:rsidTr="00D9723E">
        <w:tc>
          <w:tcPr>
            <w:tcW w:w="3264" w:type="dxa"/>
          </w:tcPr>
          <w:p w14:paraId="3F327C30" w14:textId="77777777" w:rsidR="00D50582" w:rsidRPr="003348BD" w:rsidRDefault="00D50582" w:rsidP="00D9723E">
            <w:pPr>
              <w:rPr>
                <w:rFonts w:ascii="Arial" w:hAnsi="Arial" w:cs="Arial"/>
              </w:rPr>
            </w:pPr>
            <w:r w:rsidRPr="003348BD">
              <w:rPr>
                <w:rFonts w:ascii="Arial" w:hAnsi="Arial" w:cs="Arial"/>
              </w:rPr>
              <w:t>Financial insecurity and income volatility</w:t>
            </w:r>
          </w:p>
        </w:tc>
        <w:tc>
          <w:tcPr>
            <w:tcW w:w="3264" w:type="dxa"/>
          </w:tcPr>
          <w:p w14:paraId="0ED325D1" w14:textId="77777777" w:rsidR="00D50582" w:rsidRPr="003348BD" w:rsidRDefault="00D50582" w:rsidP="00D9723E">
            <w:pPr>
              <w:rPr>
                <w:rFonts w:ascii="Arial" w:hAnsi="Arial" w:cs="Arial"/>
              </w:rPr>
            </w:pPr>
            <w:r w:rsidRPr="003348BD">
              <w:rPr>
                <w:rFonts w:ascii="Arial" w:hAnsi="Arial" w:cs="Arial"/>
              </w:rPr>
              <w:t>May make it difficult to take time away from work or invest in health; can compound wider stress and insecurity.</w:t>
            </w:r>
          </w:p>
        </w:tc>
        <w:tc>
          <w:tcPr>
            <w:tcW w:w="3264" w:type="dxa"/>
          </w:tcPr>
          <w:p w14:paraId="555E7760" w14:textId="77777777" w:rsidR="00D50582" w:rsidRPr="003348BD" w:rsidRDefault="00D50582" w:rsidP="00D9723E">
            <w:pPr>
              <w:rPr>
                <w:rFonts w:ascii="Arial" w:hAnsi="Arial" w:cs="Arial"/>
              </w:rPr>
            </w:pPr>
            <w:r w:rsidRPr="003348BD">
              <w:rPr>
                <w:rFonts w:ascii="Arial" w:hAnsi="Arial" w:cs="Arial"/>
              </w:rPr>
              <w:t>Film and TV Charity Money Matters; Musicians’ Census Financial Insights.</w:t>
            </w:r>
          </w:p>
        </w:tc>
      </w:tr>
      <w:tr w:rsidR="00D50582" w:rsidRPr="003348BD" w14:paraId="12F69C26" w14:textId="77777777" w:rsidTr="00D9723E">
        <w:tc>
          <w:tcPr>
            <w:tcW w:w="3264" w:type="dxa"/>
          </w:tcPr>
          <w:p w14:paraId="0DD5EF54" w14:textId="77777777" w:rsidR="00D50582" w:rsidRPr="003348BD" w:rsidRDefault="00D50582" w:rsidP="00D9723E">
            <w:pPr>
              <w:rPr>
                <w:rFonts w:ascii="Arial" w:hAnsi="Arial" w:cs="Arial"/>
              </w:rPr>
            </w:pPr>
            <w:r w:rsidRPr="003348BD">
              <w:rPr>
                <w:rFonts w:ascii="Arial" w:hAnsi="Arial" w:cs="Arial"/>
              </w:rPr>
              <w:t>Competition for opportunities</w:t>
            </w:r>
          </w:p>
        </w:tc>
        <w:tc>
          <w:tcPr>
            <w:tcW w:w="3264" w:type="dxa"/>
          </w:tcPr>
          <w:p w14:paraId="634B163F" w14:textId="77777777" w:rsidR="00D50582" w:rsidRPr="003348BD" w:rsidRDefault="00D50582" w:rsidP="00D9723E">
            <w:pPr>
              <w:rPr>
                <w:rFonts w:ascii="Arial" w:hAnsi="Arial" w:cs="Arial"/>
              </w:rPr>
            </w:pPr>
            <w:r w:rsidRPr="003348BD">
              <w:rPr>
                <w:rFonts w:ascii="Arial" w:hAnsi="Arial" w:cs="Arial"/>
              </w:rPr>
              <w:t>May contribute to reluctance to disclose health needs, seek adjustments or decline work when unwell.</w:t>
            </w:r>
          </w:p>
        </w:tc>
        <w:tc>
          <w:tcPr>
            <w:tcW w:w="3264" w:type="dxa"/>
          </w:tcPr>
          <w:p w14:paraId="52A15995" w14:textId="77777777" w:rsidR="00D50582" w:rsidRPr="003348BD" w:rsidRDefault="00D50582" w:rsidP="00D9723E">
            <w:pPr>
              <w:rPr>
                <w:rFonts w:ascii="Arial" w:hAnsi="Arial" w:cs="Arial"/>
              </w:rPr>
            </w:pPr>
            <w:r w:rsidRPr="003348BD">
              <w:rPr>
                <w:rFonts w:ascii="Arial" w:hAnsi="Arial" w:cs="Arial"/>
              </w:rPr>
              <w:t>Sector evidence identified through the consensus process.</w:t>
            </w:r>
          </w:p>
        </w:tc>
      </w:tr>
      <w:tr w:rsidR="00D50582" w:rsidRPr="003348BD" w14:paraId="1861AF27" w14:textId="77777777" w:rsidTr="00D9723E">
        <w:tc>
          <w:tcPr>
            <w:tcW w:w="3264" w:type="dxa"/>
          </w:tcPr>
          <w:p w14:paraId="19D10A51" w14:textId="77777777" w:rsidR="00D50582" w:rsidRPr="003348BD" w:rsidRDefault="00D50582" w:rsidP="00D9723E">
            <w:pPr>
              <w:rPr>
                <w:rFonts w:ascii="Arial" w:hAnsi="Arial" w:cs="Arial"/>
              </w:rPr>
            </w:pPr>
            <w:r w:rsidRPr="003348BD">
              <w:rPr>
                <w:rFonts w:ascii="Arial" w:hAnsi="Arial" w:cs="Arial"/>
              </w:rPr>
              <w:t>Small organisations and variable organisational capacity</w:t>
            </w:r>
          </w:p>
        </w:tc>
        <w:tc>
          <w:tcPr>
            <w:tcW w:w="3264" w:type="dxa"/>
          </w:tcPr>
          <w:p w14:paraId="038574DC" w14:textId="77777777" w:rsidR="00D50582" w:rsidRPr="003348BD" w:rsidRDefault="00D50582" w:rsidP="00D9723E">
            <w:pPr>
              <w:rPr>
                <w:rFonts w:ascii="Arial" w:hAnsi="Arial" w:cs="Arial"/>
              </w:rPr>
            </w:pPr>
            <w:r w:rsidRPr="003348BD">
              <w:rPr>
                <w:rFonts w:ascii="Arial" w:hAnsi="Arial" w:cs="Arial"/>
              </w:rPr>
              <w:t>Access to formal HR, health and safety and occupational health expertise may be limited.</w:t>
            </w:r>
          </w:p>
        </w:tc>
        <w:tc>
          <w:tcPr>
            <w:tcW w:w="3264" w:type="dxa"/>
          </w:tcPr>
          <w:p w14:paraId="31E0CE93" w14:textId="77777777" w:rsidR="00D50582" w:rsidRPr="003348BD" w:rsidRDefault="00D50582" w:rsidP="00D9723E">
            <w:pPr>
              <w:rPr>
                <w:rFonts w:ascii="Arial" w:hAnsi="Arial" w:cs="Arial"/>
              </w:rPr>
            </w:pPr>
            <w:r w:rsidRPr="003348BD">
              <w:rPr>
                <w:rFonts w:ascii="Arial" w:hAnsi="Arial" w:cs="Arial"/>
              </w:rPr>
              <w:t>Creative Industries workforce evidence; sector-specific practice evidence.</w:t>
            </w:r>
          </w:p>
        </w:tc>
      </w:tr>
      <w:tr w:rsidR="00D50582" w:rsidRPr="003348BD" w14:paraId="63BCDE55" w14:textId="77777777" w:rsidTr="00D9723E">
        <w:tc>
          <w:tcPr>
            <w:tcW w:w="3264" w:type="dxa"/>
          </w:tcPr>
          <w:p w14:paraId="76892529" w14:textId="77777777" w:rsidR="00D50582" w:rsidRPr="003348BD" w:rsidRDefault="00D50582" w:rsidP="00D9723E">
            <w:pPr>
              <w:rPr>
                <w:rFonts w:ascii="Arial" w:hAnsi="Arial" w:cs="Arial"/>
              </w:rPr>
            </w:pPr>
            <w:r w:rsidRPr="003348BD">
              <w:rPr>
                <w:rFonts w:ascii="Arial" w:hAnsi="Arial" w:cs="Arial"/>
              </w:rPr>
              <w:t>Discipline-specific occupational exposures</w:t>
            </w:r>
          </w:p>
        </w:tc>
        <w:tc>
          <w:tcPr>
            <w:tcW w:w="3264" w:type="dxa"/>
          </w:tcPr>
          <w:p w14:paraId="0663865E" w14:textId="77777777" w:rsidR="00D50582" w:rsidRPr="003348BD" w:rsidRDefault="00D50582" w:rsidP="00D9723E">
            <w:pPr>
              <w:rPr>
                <w:rFonts w:ascii="Arial" w:hAnsi="Arial" w:cs="Arial"/>
              </w:rPr>
            </w:pPr>
            <w:r w:rsidRPr="003348BD">
              <w:rPr>
                <w:rFonts w:ascii="Arial" w:hAnsi="Arial" w:cs="Arial"/>
              </w:rPr>
              <w:t>Different creative occupations may require different prevention, risk assessment and specialist support.</w:t>
            </w:r>
          </w:p>
        </w:tc>
        <w:tc>
          <w:tcPr>
            <w:tcW w:w="3264" w:type="dxa"/>
          </w:tcPr>
          <w:p w14:paraId="332669FD" w14:textId="77777777" w:rsidR="00D50582" w:rsidRPr="003348BD" w:rsidRDefault="00D50582" w:rsidP="00D9723E">
            <w:pPr>
              <w:rPr>
                <w:rFonts w:ascii="Arial" w:hAnsi="Arial" w:cs="Arial"/>
              </w:rPr>
            </w:pPr>
            <w:r w:rsidRPr="003348BD">
              <w:rPr>
                <w:rFonts w:ascii="Arial" w:hAnsi="Arial" w:cs="Arial"/>
              </w:rPr>
              <w:t>Music, dance, film/TV and other sector evidence.</w:t>
            </w:r>
          </w:p>
        </w:tc>
      </w:tr>
    </w:tbl>
    <w:p w14:paraId="5FAA5166" w14:textId="77777777" w:rsidR="00D50582" w:rsidRPr="003348BD" w:rsidRDefault="00D50582" w:rsidP="00D50582">
      <w:pPr>
        <w:pStyle w:val="Heading1"/>
        <w:rPr>
          <w:rFonts w:ascii="Arial" w:hAnsi="Arial" w:cs="Arial"/>
          <w:sz w:val="28"/>
          <w:szCs w:val="28"/>
        </w:rPr>
      </w:pPr>
      <w:r w:rsidRPr="003348BD">
        <w:rPr>
          <w:rFonts w:ascii="Arial" w:hAnsi="Arial" w:cs="Arial"/>
          <w:sz w:val="28"/>
          <w:szCs w:val="28"/>
        </w:rPr>
        <w:t>4. Health and wellbeing evidence</w:t>
      </w:r>
    </w:p>
    <w:p w14:paraId="24018CD3" w14:textId="77777777" w:rsidR="00D50582" w:rsidRPr="003348BD" w:rsidRDefault="00D50582" w:rsidP="00D50582">
      <w:pPr>
        <w:pStyle w:val="Heading2"/>
        <w:rPr>
          <w:rFonts w:ascii="Arial" w:hAnsi="Arial" w:cs="Arial"/>
          <w:sz w:val="24"/>
          <w:szCs w:val="24"/>
        </w:rPr>
      </w:pPr>
      <w:r w:rsidRPr="003348BD">
        <w:rPr>
          <w:rFonts w:ascii="Arial" w:hAnsi="Arial" w:cs="Arial"/>
          <w:sz w:val="24"/>
          <w:szCs w:val="24"/>
        </w:rPr>
        <w:t>4.1 Mental health and psychological wellbeing</w:t>
      </w:r>
    </w:p>
    <w:p w14:paraId="6A843B2A" w14:textId="77777777" w:rsidR="00D50582" w:rsidRPr="003348BD" w:rsidRDefault="00D50582" w:rsidP="00D50582">
      <w:pPr>
        <w:rPr>
          <w:rFonts w:ascii="Arial" w:hAnsi="Arial" w:cs="Arial"/>
        </w:rPr>
      </w:pPr>
      <w:r w:rsidRPr="003348BD">
        <w:rPr>
          <w:rFonts w:ascii="Arial" w:hAnsi="Arial" w:cs="Arial"/>
        </w:rPr>
        <w:t xml:space="preserve">The draft consensus identifies poor mental health as a common challenge across the Creative Industries and provides sector-specific evidence from film and television. The Film and TV Charity </w:t>
      </w:r>
      <w:proofErr w:type="gramStart"/>
      <w:r w:rsidRPr="003348BD">
        <w:rPr>
          <w:rFonts w:ascii="Arial" w:hAnsi="Arial" w:cs="Arial"/>
        </w:rPr>
        <w:t>has</w:t>
      </w:r>
      <w:proofErr w:type="gramEnd"/>
      <w:r w:rsidRPr="003348BD">
        <w:rPr>
          <w:rFonts w:ascii="Arial" w:hAnsi="Arial" w:cs="Arial"/>
        </w:rPr>
        <w:t xml:space="preserve"> reported that 35% of workers in the sector rate their mental health as poor or very poor, with some considering other employment as a </w:t>
      </w:r>
      <w:proofErr w:type="gramStart"/>
      <w:r w:rsidRPr="003348BD">
        <w:rPr>
          <w:rFonts w:ascii="Arial" w:hAnsi="Arial" w:cs="Arial"/>
        </w:rPr>
        <w:t>result.</w:t>
      </w:r>
      <w:r>
        <w:rPr>
          <w:rFonts w:ascii="Arial" w:hAnsi="Arial" w:cs="Arial"/>
        </w:rPr>
        <w:t>(</w:t>
      </w:r>
      <w:proofErr w:type="gramEnd"/>
      <w:r w:rsidRPr="003348BD">
        <w:rPr>
          <w:rFonts w:ascii="Arial" w:hAnsi="Arial" w:cs="Arial"/>
        </w:rPr>
        <w:footnoteReference w:id="2"/>
      </w:r>
      <w:r>
        <w:rPr>
          <w:rFonts w:ascii="Arial" w:hAnsi="Arial" w:cs="Arial"/>
        </w:rPr>
        <w:t>)</w:t>
      </w:r>
    </w:p>
    <w:p w14:paraId="6DDEA328" w14:textId="77777777" w:rsidR="00D50582" w:rsidRPr="003348BD" w:rsidRDefault="00D50582" w:rsidP="00D50582">
      <w:pPr>
        <w:rPr>
          <w:rFonts w:ascii="Arial" w:hAnsi="Arial" w:cs="Arial"/>
        </w:rPr>
      </w:pPr>
      <w:r w:rsidRPr="003348BD">
        <w:rPr>
          <w:rFonts w:ascii="Arial" w:hAnsi="Arial" w:cs="Arial"/>
        </w:rPr>
        <w:t xml:space="preserve">The supporting evidence should be interpreted within the wider context of employment insecurity, competition for opportunities, irregular work and workplace culture. The case for action should avoid presenting poor mental health as an </w:t>
      </w:r>
      <w:r w:rsidRPr="003348BD">
        <w:rPr>
          <w:rFonts w:ascii="Arial" w:hAnsi="Arial" w:cs="Arial"/>
        </w:rPr>
        <w:lastRenderedPageBreak/>
        <w:t>inherent feature of creativity. Instead, it should focus on the working conditions and organisational practices that can protect or undermine health.</w:t>
      </w:r>
    </w:p>
    <w:p w14:paraId="11261AC3" w14:textId="77777777" w:rsidR="00D50582" w:rsidRPr="003348BD" w:rsidRDefault="00D50582" w:rsidP="00D50582">
      <w:pPr>
        <w:pStyle w:val="Heading1"/>
        <w:rPr>
          <w:rFonts w:ascii="Arial" w:hAnsi="Arial" w:cs="Arial"/>
          <w:sz w:val="24"/>
          <w:szCs w:val="24"/>
        </w:rPr>
      </w:pPr>
      <w:r w:rsidRPr="003348BD">
        <w:rPr>
          <w:rFonts w:ascii="Arial" w:hAnsi="Arial" w:cs="Arial"/>
          <w:sz w:val="24"/>
          <w:szCs w:val="24"/>
        </w:rPr>
        <w:t>4.2 Physical and occupational health</w:t>
      </w:r>
    </w:p>
    <w:p w14:paraId="7DDD6D99" w14:textId="77777777" w:rsidR="00D50582" w:rsidRPr="003348BD" w:rsidRDefault="00D50582" w:rsidP="00D50582">
      <w:pPr>
        <w:rPr>
          <w:rFonts w:ascii="Arial" w:hAnsi="Arial" w:cs="Arial"/>
        </w:rPr>
      </w:pPr>
      <w:r w:rsidRPr="003348BD">
        <w:rPr>
          <w:rFonts w:ascii="Arial" w:hAnsi="Arial" w:cs="Arial"/>
        </w:rPr>
        <w:t>Workplace health in the Creative Industries is not solely a mental-health issue. Risks vary by discipline and can include physical demands, repetitive or intensive work, fatigue, irregular working patterns and other occupational exposures. The consensus appropriately includes both work-related conditions and health conditions that affect a person's ability to work.</w:t>
      </w:r>
    </w:p>
    <w:p w14:paraId="32C280B7" w14:textId="77777777" w:rsidR="00D50582" w:rsidRPr="003348BD" w:rsidRDefault="00D50582" w:rsidP="00D50582">
      <w:pPr>
        <w:rPr>
          <w:rFonts w:ascii="Arial" w:hAnsi="Arial" w:cs="Arial"/>
        </w:rPr>
      </w:pPr>
      <w:r w:rsidRPr="003348BD">
        <w:rPr>
          <w:rFonts w:ascii="Arial" w:hAnsi="Arial" w:cs="Arial"/>
        </w:rPr>
        <w:t>Further evidence should be assembled across subsectors on occupational injury and illness, musculoskeletal health, hearing and voice health, fatigue and sleep, ergonomic risks and other discipline-specific exposures. This is an identified evidence-development priority rather than a claim that the current evidence base is comprehensive.</w:t>
      </w:r>
    </w:p>
    <w:p w14:paraId="6AD0C950" w14:textId="77777777" w:rsidR="00D50582" w:rsidRPr="003348BD" w:rsidRDefault="00D50582" w:rsidP="00D50582">
      <w:pPr>
        <w:pStyle w:val="Heading1"/>
      </w:pPr>
      <w:r w:rsidRPr="003348BD">
        <w:t>4.3 Health conditions, disability and retention</w:t>
      </w:r>
    </w:p>
    <w:p w14:paraId="66C80449" w14:textId="77777777" w:rsidR="00D50582" w:rsidRPr="003348BD" w:rsidRDefault="00D50582" w:rsidP="00D50582">
      <w:pPr>
        <w:rPr>
          <w:rFonts w:ascii="Arial" w:hAnsi="Arial" w:cs="Arial"/>
        </w:rPr>
      </w:pPr>
      <w:r w:rsidRPr="003348BD">
        <w:rPr>
          <w:rFonts w:ascii="Arial" w:hAnsi="Arial" w:cs="Arial"/>
        </w:rPr>
        <w:t>Workplace health also encompasses support for people with non-occupational health conditions, disability and other health needs. The objective is to enable people to remain in work where possible, access appropriate adjustments, return safely following illness or injury, and sustain creative careers.</w:t>
      </w:r>
    </w:p>
    <w:p w14:paraId="22595909" w14:textId="77777777" w:rsidR="00D50582" w:rsidRPr="003348BD" w:rsidRDefault="00D50582" w:rsidP="00D50582">
      <w:pPr>
        <w:rPr>
          <w:rFonts w:ascii="Arial" w:hAnsi="Arial" w:cs="Arial"/>
        </w:rPr>
      </w:pPr>
      <w:r w:rsidRPr="003348BD">
        <w:rPr>
          <w:rFonts w:ascii="Arial" w:hAnsi="Arial" w:cs="Arial"/>
        </w:rPr>
        <w:t>Evidence on disability, long-term conditions, neurodivergence, reasonable adjustments and retention should therefore form part of future evidence development and implementation evaluation.</w:t>
      </w:r>
    </w:p>
    <w:p w14:paraId="58B9730D" w14:textId="77777777" w:rsidR="00D50582" w:rsidRPr="003348BD" w:rsidRDefault="00D50582" w:rsidP="00D50582">
      <w:pPr>
        <w:pStyle w:val="Heading1"/>
      </w:pPr>
      <w:r w:rsidRPr="003348BD">
        <w:t>5. Financial security and employment conditions</w:t>
      </w:r>
    </w:p>
    <w:p w14:paraId="5D7FB02F" w14:textId="77777777" w:rsidR="00D50582" w:rsidRPr="003348BD" w:rsidRDefault="00D50582" w:rsidP="00D50582">
      <w:pPr>
        <w:rPr>
          <w:rFonts w:ascii="Arial" w:hAnsi="Arial" w:cs="Arial"/>
        </w:rPr>
      </w:pPr>
      <w:r w:rsidRPr="003348BD">
        <w:rPr>
          <w:rFonts w:ascii="Arial" w:hAnsi="Arial" w:cs="Arial"/>
        </w:rPr>
        <w:t xml:space="preserve">The financial context of creative work is an important part of the workplace-health picture. The draft reports that, in a 2024 Film and TV Charity Money Matters workforce survey, 42% of respondents had less than £1,000 in cash savings, including 27% with no cash savings, and 40% felt they could make ends meet for no more than one month if they lost their income. The draft also reports that only 28% of self-employed musicians had access to an employer-contributed </w:t>
      </w:r>
      <w:proofErr w:type="gramStart"/>
      <w:r w:rsidRPr="003348BD">
        <w:rPr>
          <w:rFonts w:ascii="Arial" w:hAnsi="Arial" w:cs="Arial"/>
        </w:rPr>
        <w:t>pension.</w:t>
      </w:r>
      <w:r>
        <w:rPr>
          <w:rFonts w:ascii="Arial" w:hAnsi="Arial" w:cs="Arial"/>
        </w:rPr>
        <w:t>(</w:t>
      </w:r>
      <w:proofErr w:type="gramEnd"/>
      <w:r w:rsidRPr="003348BD">
        <w:rPr>
          <w:rFonts w:ascii="Arial" w:hAnsi="Arial" w:cs="Arial"/>
        </w:rPr>
        <w:footnoteReference w:id="3"/>
      </w:r>
      <w:r>
        <w:rPr>
          <w:rFonts w:ascii="Arial" w:hAnsi="Arial" w:cs="Arial"/>
        </w:rPr>
        <w:t>,</w:t>
      </w:r>
      <w:r w:rsidRPr="003348BD">
        <w:rPr>
          <w:rFonts w:ascii="Arial" w:hAnsi="Arial" w:cs="Arial"/>
        </w:rPr>
        <w:footnoteReference w:id="4"/>
      </w:r>
      <w:r>
        <w:rPr>
          <w:rFonts w:ascii="Arial" w:hAnsi="Arial" w:cs="Arial"/>
        </w:rPr>
        <w:t>)</w:t>
      </w:r>
    </w:p>
    <w:p w14:paraId="0696DB96" w14:textId="77777777" w:rsidR="00D50582" w:rsidRPr="003348BD" w:rsidRDefault="00D50582" w:rsidP="00D50582">
      <w:pPr>
        <w:rPr>
          <w:rFonts w:ascii="Arial" w:hAnsi="Arial" w:cs="Arial"/>
        </w:rPr>
      </w:pPr>
      <w:r w:rsidRPr="003348BD">
        <w:rPr>
          <w:rFonts w:ascii="Arial" w:hAnsi="Arial" w:cs="Arial"/>
        </w:rPr>
        <w:t xml:space="preserve">These findings illustrate why workplace health cannot be considered separately from employment conditions. Financial insecurity may influence decisions about taking leave, seeking treatment, accepting work while unwell and disclosing health needs. </w:t>
      </w:r>
      <w:r w:rsidRPr="003348BD">
        <w:rPr>
          <w:rFonts w:ascii="Arial" w:hAnsi="Arial" w:cs="Arial"/>
        </w:rPr>
        <w:lastRenderedPageBreak/>
        <w:t>The purpose of the consensus is not to address all aspects of employment policy, but to recognise these contextual factors when designing effective workplace-health approaches.</w:t>
      </w:r>
    </w:p>
    <w:p w14:paraId="6472BB2B" w14:textId="77777777" w:rsidR="00D50582" w:rsidRPr="003348BD" w:rsidRDefault="00D50582" w:rsidP="00D50582">
      <w:pPr>
        <w:pStyle w:val="Heading1"/>
      </w:pPr>
      <w:r w:rsidRPr="003348BD">
        <w:t>6. Economic and organisational case for action</w:t>
      </w:r>
    </w:p>
    <w:p w14:paraId="20834ADF" w14:textId="77777777" w:rsidR="00D50582" w:rsidRPr="003348BD" w:rsidRDefault="00D50582" w:rsidP="00D50582">
      <w:pPr>
        <w:rPr>
          <w:rFonts w:ascii="Arial" w:hAnsi="Arial" w:cs="Arial"/>
        </w:rPr>
      </w:pPr>
      <w:r w:rsidRPr="003348BD">
        <w:rPr>
          <w:rFonts w:ascii="Arial" w:hAnsi="Arial" w:cs="Arial"/>
        </w:rPr>
        <w:t xml:space="preserve">The Creative Industries are identified in the Government's Industrial Strategy as one of the growth-driving sectors. The draft states that the sector contributed an estimated £145.8 billion to UK economic output and generated approximately 2.4 million jobs, around 7% of all UK </w:t>
      </w:r>
      <w:proofErr w:type="gramStart"/>
      <w:r w:rsidRPr="003348BD">
        <w:rPr>
          <w:rFonts w:ascii="Arial" w:hAnsi="Arial" w:cs="Arial"/>
        </w:rPr>
        <w:t>jobs.</w:t>
      </w:r>
      <w:r>
        <w:rPr>
          <w:rFonts w:ascii="Arial" w:hAnsi="Arial" w:cs="Arial"/>
        </w:rPr>
        <w:t>(</w:t>
      </w:r>
      <w:proofErr w:type="gramEnd"/>
      <w:r w:rsidRPr="003348BD">
        <w:rPr>
          <w:rFonts w:ascii="Arial" w:hAnsi="Arial" w:cs="Arial"/>
        </w:rPr>
        <w:footnoteReference w:id="5"/>
      </w:r>
      <w:r>
        <w:rPr>
          <w:rFonts w:ascii="Arial" w:hAnsi="Arial" w:cs="Arial"/>
        </w:rPr>
        <w:t>)</w:t>
      </w:r>
    </w:p>
    <w:p w14:paraId="67DC1637" w14:textId="77777777" w:rsidR="00D50582" w:rsidRPr="003348BD" w:rsidRDefault="00D50582" w:rsidP="00D50582">
      <w:pPr>
        <w:rPr>
          <w:rFonts w:ascii="Arial" w:hAnsi="Arial" w:cs="Arial"/>
        </w:rPr>
      </w:pPr>
      <w:r w:rsidRPr="003348BD">
        <w:rPr>
          <w:rFonts w:ascii="Arial" w:hAnsi="Arial" w:cs="Arial"/>
        </w:rPr>
        <w:t>A healthy workforce is therefore an economic asset. Supporting health can contribute to retention of skills and experience, productivity, organisational resilience and the ability of the sector to grow. The case for workplace health is consequently both an ethical responsibility towards workers and a practical component of sustainable economic growth.</w:t>
      </w:r>
    </w:p>
    <w:p w14:paraId="014D2795" w14:textId="77777777" w:rsidR="00D50582" w:rsidRPr="003348BD" w:rsidRDefault="00D50582" w:rsidP="00D50582">
      <w:pPr>
        <w:pStyle w:val="Heading1"/>
      </w:pPr>
      <w:r w:rsidRPr="003348BD">
        <w:t>7. Existing policy, evidence and initiatives</w:t>
      </w:r>
    </w:p>
    <w:tbl>
      <w:tblPr>
        <w:tblStyle w:val="TableGrid"/>
        <w:tblW w:w="0" w:type="auto"/>
        <w:tblLook w:val="04A0" w:firstRow="1" w:lastRow="0" w:firstColumn="1" w:lastColumn="0" w:noHBand="0" w:noVBand="1"/>
      </w:tblPr>
      <w:tblGrid>
        <w:gridCol w:w="4544"/>
        <w:gridCol w:w="4472"/>
      </w:tblGrid>
      <w:tr w:rsidR="00D50582" w:rsidRPr="003348BD" w14:paraId="77770441" w14:textId="77777777" w:rsidTr="00D9723E">
        <w:tc>
          <w:tcPr>
            <w:tcW w:w="4896" w:type="dxa"/>
          </w:tcPr>
          <w:p w14:paraId="07F42C50" w14:textId="77777777" w:rsidR="00D50582" w:rsidRPr="003348BD" w:rsidRDefault="00D50582" w:rsidP="00D9723E">
            <w:pPr>
              <w:rPr>
                <w:rFonts w:ascii="Arial" w:hAnsi="Arial" w:cs="Arial"/>
              </w:rPr>
            </w:pPr>
            <w:r w:rsidRPr="003348BD">
              <w:rPr>
                <w:rFonts w:ascii="Arial" w:hAnsi="Arial" w:cs="Arial"/>
              </w:rPr>
              <w:t>Supporting document/resource</w:t>
            </w:r>
          </w:p>
        </w:tc>
        <w:tc>
          <w:tcPr>
            <w:tcW w:w="4896" w:type="dxa"/>
          </w:tcPr>
          <w:p w14:paraId="3D54C0D8" w14:textId="77777777" w:rsidR="00D50582" w:rsidRPr="003348BD" w:rsidRDefault="00D50582" w:rsidP="00D9723E">
            <w:pPr>
              <w:rPr>
                <w:rFonts w:ascii="Arial" w:hAnsi="Arial" w:cs="Arial"/>
              </w:rPr>
            </w:pPr>
            <w:r w:rsidRPr="003348BD">
              <w:rPr>
                <w:rFonts w:ascii="Arial" w:hAnsi="Arial" w:cs="Arial"/>
              </w:rPr>
              <w:t>Relevance to the consensus</w:t>
            </w:r>
          </w:p>
        </w:tc>
      </w:tr>
      <w:tr w:rsidR="00D50582" w:rsidRPr="003348BD" w14:paraId="7FC9FA6D" w14:textId="77777777" w:rsidTr="00D9723E">
        <w:tc>
          <w:tcPr>
            <w:tcW w:w="4896" w:type="dxa"/>
          </w:tcPr>
          <w:p w14:paraId="2BEB3BC8" w14:textId="77777777" w:rsidR="00D50582" w:rsidRPr="003348BD" w:rsidRDefault="00D50582" w:rsidP="00D9723E">
            <w:pPr>
              <w:rPr>
                <w:rFonts w:ascii="Arial" w:hAnsi="Arial" w:cs="Arial"/>
              </w:rPr>
            </w:pPr>
            <w:r w:rsidRPr="003348BD">
              <w:rPr>
                <w:rFonts w:ascii="Arial" w:hAnsi="Arial" w:cs="Arial"/>
              </w:rPr>
              <w:t>Healthcare Professionals’ Consensus Statement for Action on Health and Work (AOMRC, 2025)</w:t>
            </w:r>
          </w:p>
        </w:tc>
        <w:tc>
          <w:tcPr>
            <w:tcW w:w="4896" w:type="dxa"/>
          </w:tcPr>
          <w:p w14:paraId="7A613F65" w14:textId="77777777" w:rsidR="00D50582" w:rsidRPr="003348BD" w:rsidRDefault="00D50582" w:rsidP="00D9723E">
            <w:pPr>
              <w:rPr>
                <w:rFonts w:ascii="Arial" w:hAnsi="Arial" w:cs="Arial"/>
              </w:rPr>
            </w:pPr>
            <w:r w:rsidRPr="003348BD">
              <w:rPr>
                <w:rFonts w:ascii="Arial" w:hAnsi="Arial" w:cs="Arial"/>
              </w:rPr>
              <w:t>Provides five principles including asking the work question, understanding work as a health outcome, improving access to guidance and adjustments, making effective use of the fit note, and recognising organisational responsibility for healthy working environments.</w:t>
            </w:r>
          </w:p>
        </w:tc>
      </w:tr>
      <w:tr w:rsidR="00D50582" w:rsidRPr="003348BD" w14:paraId="256D05B5" w14:textId="77777777" w:rsidTr="00D9723E">
        <w:tc>
          <w:tcPr>
            <w:tcW w:w="4896" w:type="dxa"/>
          </w:tcPr>
          <w:p w14:paraId="029927CE" w14:textId="77777777" w:rsidR="00D50582" w:rsidRPr="003348BD" w:rsidRDefault="00D50582" w:rsidP="00D9723E">
            <w:pPr>
              <w:rPr>
                <w:rFonts w:ascii="Arial" w:hAnsi="Arial" w:cs="Arial"/>
              </w:rPr>
            </w:pPr>
            <w:r w:rsidRPr="003348BD">
              <w:rPr>
                <w:rFonts w:ascii="Arial" w:hAnsi="Arial" w:cs="Arial"/>
              </w:rPr>
              <w:t>Get Britain Working White Paper (2024)</w:t>
            </w:r>
          </w:p>
        </w:tc>
        <w:tc>
          <w:tcPr>
            <w:tcW w:w="4896" w:type="dxa"/>
          </w:tcPr>
          <w:p w14:paraId="4898B538" w14:textId="77777777" w:rsidR="00D50582" w:rsidRPr="003348BD" w:rsidRDefault="00D50582" w:rsidP="00D9723E">
            <w:pPr>
              <w:rPr>
                <w:rFonts w:ascii="Arial" w:hAnsi="Arial" w:cs="Arial"/>
              </w:rPr>
            </w:pPr>
            <w:r w:rsidRPr="003348BD">
              <w:rPr>
                <w:rFonts w:ascii="Arial" w:hAnsi="Arial" w:cs="Arial"/>
              </w:rPr>
              <w:t>Provides the wider Government health-and-work context for improving economic participation and addressing health-related barriers to work.</w:t>
            </w:r>
          </w:p>
        </w:tc>
      </w:tr>
      <w:tr w:rsidR="00D50582" w:rsidRPr="003348BD" w14:paraId="1DC82D98" w14:textId="77777777" w:rsidTr="00D9723E">
        <w:tc>
          <w:tcPr>
            <w:tcW w:w="4896" w:type="dxa"/>
          </w:tcPr>
          <w:p w14:paraId="6280AB7F" w14:textId="77777777" w:rsidR="00D50582" w:rsidRPr="003348BD" w:rsidRDefault="00D50582" w:rsidP="00D9723E">
            <w:pPr>
              <w:rPr>
                <w:rFonts w:ascii="Arial" w:hAnsi="Arial" w:cs="Arial"/>
              </w:rPr>
            </w:pPr>
            <w:r w:rsidRPr="003348BD">
              <w:rPr>
                <w:rFonts w:ascii="Arial" w:hAnsi="Arial" w:cs="Arial"/>
              </w:rPr>
              <w:t>Keep Britain Working Review (2025)</w:t>
            </w:r>
          </w:p>
        </w:tc>
        <w:tc>
          <w:tcPr>
            <w:tcW w:w="4896" w:type="dxa"/>
          </w:tcPr>
          <w:p w14:paraId="7D40108F" w14:textId="77777777" w:rsidR="00D50582" w:rsidRPr="003348BD" w:rsidRDefault="00D50582" w:rsidP="00D9723E">
            <w:pPr>
              <w:rPr>
                <w:rFonts w:ascii="Arial" w:hAnsi="Arial" w:cs="Arial"/>
              </w:rPr>
            </w:pPr>
            <w:r w:rsidRPr="003348BD">
              <w:rPr>
                <w:rFonts w:ascii="Arial" w:hAnsi="Arial" w:cs="Arial"/>
              </w:rPr>
              <w:t>Provides further policy context on health, work, retention and economic participation.</w:t>
            </w:r>
          </w:p>
        </w:tc>
      </w:tr>
      <w:tr w:rsidR="00D50582" w:rsidRPr="003348BD" w14:paraId="6D758154" w14:textId="77777777" w:rsidTr="00D9723E">
        <w:tc>
          <w:tcPr>
            <w:tcW w:w="4896" w:type="dxa"/>
          </w:tcPr>
          <w:p w14:paraId="2389EC93" w14:textId="77777777" w:rsidR="00D50582" w:rsidRPr="003348BD" w:rsidRDefault="00D50582" w:rsidP="00D9723E">
            <w:pPr>
              <w:rPr>
                <w:rFonts w:ascii="Arial" w:hAnsi="Arial" w:cs="Arial"/>
              </w:rPr>
            </w:pPr>
            <w:r w:rsidRPr="003348BD">
              <w:rPr>
                <w:rFonts w:ascii="Arial" w:hAnsi="Arial" w:cs="Arial"/>
              </w:rPr>
              <w:t>Industrial Strategy and Creative Industries Sector Plan</w:t>
            </w:r>
          </w:p>
        </w:tc>
        <w:tc>
          <w:tcPr>
            <w:tcW w:w="4896" w:type="dxa"/>
          </w:tcPr>
          <w:p w14:paraId="7D457A65" w14:textId="77777777" w:rsidR="00D50582" w:rsidRPr="003348BD" w:rsidRDefault="00D50582" w:rsidP="00D9723E">
            <w:pPr>
              <w:rPr>
                <w:rFonts w:ascii="Arial" w:hAnsi="Arial" w:cs="Arial"/>
              </w:rPr>
            </w:pPr>
            <w:r w:rsidRPr="003348BD">
              <w:rPr>
                <w:rFonts w:ascii="Arial" w:hAnsi="Arial" w:cs="Arial"/>
              </w:rPr>
              <w:t>Establishes the strategic importance of the Creative Industries to growth and productivity.</w:t>
            </w:r>
          </w:p>
        </w:tc>
      </w:tr>
      <w:tr w:rsidR="00D50582" w:rsidRPr="003348BD" w14:paraId="634FB77E" w14:textId="77777777" w:rsidTr="00D9723E">
        <w:tc>
          <w:tcPr>
            <w:tcW w:w="4896" w:type="dxa"/>
          </w:tcPr>
          <w:p w14:paraId="4FEF7178" w14:textId="77777777" w:rsidR="00D50582" w:rsidRPr="003348BD" w:rsidRDefault="00D50582" w:rsidP="00D9723E">
            <w:pPr>
              <w:rPr>
                <w:rFonts w:ascii="Arial" w:hAnsi="Arial" w:cs="Arial"/>
              </w:rPr>
            </w:pPr>
            <w:r w:rsidRPr="003348BD">
              <w:rPr>
                <w:rFonts w:ascii="Arial" w:hAnsi="Arial" w:cs="Arial"/>
              </w:rPr>
              <w:t>Creative Health Review (2023)</w:t>
            </w:r>
          </w:p>
        </w:tc>
        <w:tc>
          <w:tcPr>
            <w:tcW w:w="4896" w:type="dxa"/>
          </w:tcPr>
          <w:p w14:paraId="2FE0EF79" w14:textId="77777777" w:rsidR="00D50582" w:rsidRPr="003348BD" w:rsidRDefault="00D50582" w:rsidP="00D9723E">
            <w:pPr>
              <w:rPr>
                <w:rFonts w:ascii="Arial" w:hAnsi="Arial" w:cs="Arial"/>
              </w:rPr>
            </w:pPr>
            <w:r w:rsidRPr="003348BD">
              <w:rPr>
                <w:rFonts w:ascii="Arial" w:hAnsi="Arial" w:cs="Arial"/>
              </w:rPr>
              <w:t>Provides the wider context for the relationship between creativity, health and wellbeing.</w:t>
            </w:r>
          </w:p>
        </w:tc>
      </w:tr>
      <w:tr w:rsidR="00D50582" w:rsidRPr="003348BD" w14:paraId="20BA3687" w14:textId="77777777" w:rsidTr="00D9723E">
        <w:tc>
          <w:tcPr>
            <w:tcW w:w="4896" w:type="dxa"/>
          </w:tcPr>
          <w:p w14:paraId="043F4201" w14:textId="77777777" w:rsidR="00D50582" w:rsidRPr="003348BD" w:rsidRDefault="00D50582" w:rsidP="00D9723E">
            <w:pPr>
              <w:rPr>
                <w:rFonts w:ascii="Arial" w:hAnsi="Arial" w:cs="Arial"/>
              </w:rPr>
            </w:pPr>
            <w:r w:rsidRPr="003348BD">
              <w:rPr>
                <w:rFonts w:ascii="Arial" w:hAnsi="Arial" w:cs="Arial"/>
              </w:rPr>
              <w:lastRenderedPageBreak/>
              <w:t>PEC Good Work Review</w:t>
            </w:r>
          </w:p>
        </w:tc>
        <w:tc>
          <w:tcPr>
            <w:tcW w:w="4896" w:type="dxa"/>
          </w:tcPr>
          <w:p w14:paraId="09D3E30E" w14:textId="77777777" w:rsidR="00D50582" w:rsidRPr="003348BD" w:rsidRDefault="00D50582" w:rsidP="00D9723E">
            <w:pPr>
              <w:rPr>
                <w:rFonts w:ascii="Arial" w:hAnsi="Arial" w:cs="Arial"/>
              </w:rPr>
            </w:pPr>
            <w:r w:rsidRPr="003348BD">
              <w:rPr>
                <w:rFonts w:ascii="Arial" w:hAnsi="Arial" w:cs="Arial"/>
              </w:rPr>
              <w:t>Provides evidence and a framework for considering good work and its implications for health and employment.</w:t>
            </w:r>
          </w:p>
        </w:tc>
      </w:tr>
      <w:tr w:rsidR="00D50582" w:rsidRPr="003348BD" w14:paraId="306A8A22" w14:textId="77777777" w:rsidTr="00D9723E">
        <w:tc>
          <w:tcPr>
            <w:tcW w:w="4896" w:type="dxa"/>
          </w:tcPr>
          <w:p w14:paraId="22CA937D" w14:textId="77777777" w:rsidR="00D50582" w:rsidRPr="003348BD" w:rsidRDefault="00D50582" w:rsidP="00D9723E">
            <w:pPr>
              <w:rPr>
                <w:rFonts w:ascii="Arial" w:hAnsi="Arial" w:cs="Arial"/>
              </w:rPr>
            </w:pPr>
            <w:r w:rsidRPr="003348BD">
              <w:rPr>
                <w:rFonts w:ascii="Arial" w:hAnsi="Arial" w:cs="Arial"/>
              </w:rPr>
              <w:t>Film and TV Charity resources</w:t>
            </w:r>
            <w:r w:rsidRPr="003348BD">
              <w:rPr>
                <w:rFonts w:ascii="Arial" w:hAnsi="Arial" w:cs="Arial"/>
              </w:rPr>
              <w:footnoteReference w:id="6"/>
            </w:r>
          </w:p>
        </w:tc>
        <w:tc>
          <w:tcPr>
            <w:tcW w:w="4896" w:type="dxa"/>
          </w:tcPr>
          <w:p w14:paraId="5088EFF6" w14:textId="77777777" w:rsidR="00D50582" w:rsidRPr="003348BD" w:rsidRDefault="00D50582" w:rsidP="00D9723E">
            <w:pPr>
              <w:rPr>
                <w:rFonts w:ascii="Arial" w:hAnsi="Arial" w:cs="Arial"/>
              </w:rPr>
            </w:pPr>
            <w:r w:rsidRPr="003348BD">
              <w:rPr>
                <w:rFonts w:ascii="Arial" w:hAnsi="Arial" w:cs="Arial"/>
              </w:rPr>
              <w:t>Provides sector-specific evidence and practical principles for mentally healthy productions and financial resilience.</w:t>
            </w:r>
          </w:p>
        </w:tc>
      </w:tr>
      <w:tr w:rsidR="00D50582" w:rsidRPr="003348BD" w14:paraId="669E066F" w14:textId="77777777" w:rsidTr="00D9723E">
        <w:tc>
          <w:tcPr>
            <w:tcW w:w="4896" w:type="dxa"/>
          </w:tcPr>
          <w:p w14:paraId="0242050F" w14:textId="77777777" w:rsidR="00D50582" w:rsidRPr="003348BD" w:rsidRDefault="00D50582" w:rsidP="00D9723E">
            <w:pPr>
              <w:rPr>
                <w:rFonts w:ascii="Arial" w:hAnsi="Arial" w:cs="Arial"/>
              </w:rPr>
            </w:pPr>
            <w:r w:rsidRPr="003348BD">
              <w:rPr>
                <w:rFonts w:ascii="Arial" w:hAnsi="Arial" w:cs="Arial"/>
              </w:rPr>
              <w:t>Musicians’ Census and EU musicians’ health evidence</w:t>
            </w:r>
            <w:r w:rsidRPr="003348BD">
              <w:rPr>
                <w:rFonts w:ascii="Arial" w:hAnsi="Arial" w:cs="Arial"/>
              </w:rPr>
              <w:footnoteReference w:id="7"/>
            </w:r>
          </w:p>
        </w:tc>
        <w:tc>
          <w:tcPr>
            <w:tcW w:w="4896" w:type="dxa"/>
          </w:tcPr>
          <w:p w14:paraId="39C8C799" w14:textId="77777777" w:rsidR="00D50582" w:rsidRPr="003348BD" w:rsidRDefault="00D50582" w:rsidP="00D9723E">
            <w:pPr>
              <w:rPr>
                <w:rFonts w:ascii="Arial" w:hAnsi="Arial" w:cs="Arial"/>
              </w:rPr>
            </w:pPr>
            <w:r w:rsidRPr="003348BD">
              <w:rPr>
                <w:rFonts w:ascii="Arial" w:hAnsi="Arial" w:cs="Arial"/>
              </w:rPr>
              <w:t>Provides evidence on financial security, employment arrangements and health and wellbeing of musicians and music creators.</w:t>
            </w:r>
          </w:p>
        </w:tc>
      </w:tr>
      <w:tr w:rsidR="00D50582" w:rsidRPr="003348BD" w14:paraId="436AD3B3" w14:textId="77777777" w:rsidTr="00D9723E">
        <w:tc>
          <w:tcPr>
            <w:tcW w:w="4896" w:type="dxa"/>
          </w:tcPr>
          <w:p w14:paraId="5769B69A" w14:textId="77777777" w:rsidR="00D50582" w:rsidRPr="003348BD" w:rsidRDefault="00D50582" w:rsidP="00D9723E">
            <w:pPr>
              <w:rPr>
                <w:rFonts w:ascii="Arial" w:hAnsi="Arial" w:cs="Arial"/>
              </w:rPr>
            </w:pPr>
            <w:r w:rsidRPr="003348BD">
              <w:rPr>
                <w:rFonts w:ascii="Arial" w:hAnsi="Arial" w:cs="Arial"/>
              </w:rPr>
              <w:t>Freelance Dance Artists’ Working Ecology and UK Dance Sector freelancer research</w:t>
            </w:r>
            <w:r w:rsidRPr="003348BD">
              <w:rPr>
                <w:rFonts w:ascii="Arial" w:hAnsi="Arial" w:cs="Arial"/>
              </w:rPr>
              <w:footnoteReference w:id="8"/>
            </w:r>
          </w:p>
        </w:tc>
        <w:tc>
          <w:tcPr>
            <w:tcW w:w="4896" w:type="dxa"/>
          </w:tcPr>
          <w:p w14:paraId="0D8F0977" w14:textId="77777777" w:rsidR="00D50582" w:rsidRPr="003348BD" w:rsidRDefault="00D50582" w:rsidP="00D9723E">
            <w:pPr>
              <w:rPr>
                <w:rFonts w:ascii="Arial" w:hAnsi="Arial" w:cs="Arial"/>
              </w:rPr>
            </w:pPr>
            <w:r w:rsidRPr="003348BD">
              <w:rPr>
                <w:rFonts w:ascii="Arial" w:hAnsi="Arial" w:cs="Arial"/>
              </w:rPr>
              <w:t>Provides insight into freelance working arrangements and the working ecology of dance.</w:t>
            </w:r>
          </w:p>
        </w:tc>
      </w:tr>
    </w:tbl>
    <w:p w14:paraId="74486014" w14:textId="77777777" w:rsidR="00D50582" w:rsidRDefault="00D50582" w:rsidP="00D50582">
      <w:pPr>
        <w:pStyle w:val="Heading1"/>
      </w:pPr>
    </w:p>
    <w:p w14:paraId="179AC83E" w14:textId="77777777" w:rsidR="00D50582" w:rsidRDefault="00D50582" w:rsidP="00D50582">
      <w:pPr>
        <w:pStyle w:val="Heading1"/>
      </w:pPr>
      <w:r>
        <w:br w:type="page"/>
      </w:r>
    </w:p>
    <w:p w14:paraId="2800B86F" w14:textId="77777777" w:rsidR="00D50582" w:rsidRPr="003348BD" w:rsidRDefault="00D50582" w:rsidP="00D50582">
      <w:pPr>
        <w:pStyle w:val="Heading1"/>
      </w:pPr>
      <w:r>
        <w:lastRenderedPageBreak/>
        <w:t>8</w:t>
      </w:r>
      <w:r w:rsidRPr="003348BD">
        <w:t>. Policy alignment</w:t>
      </w:r>
    </w:p>
    <w:tbl>
      <w:tblPr>
        <w:tblStyle w:val="TableGrid"/>
        <w:tblW w:w="0" w:type="auto"/>
        <w:tblLook w:val="04A0" w:firstRow="1" w:lastRow="0" w:firstColumn="1" w:lastColumn="0" w:noHBand="0" w:noVBand="1"/>
      </w:tblPr>
      <w:tblGrid>
        <w:gridCol w:w="2689"/>
        <w:gridCol w:w="2835"/>
        <w:gridCol w:w="3492"/>
      </w:tblGrid>
      <w:tr w:rsidR="00D50582" w:rsidRPr="003348BD" w14:paraId="2A34C979" w14:textId="77777777" w:rsidTr="00D9723E">
        <w:tc>
          <w:tcPr>
            <w:tcW w:w="2689" w:type="dxa"/>
          </w:tcPr>
          <w:p w14:paraId="3EB03FDC" w14:textId="77777777" w:rsidR="00D50582" w:rsidRPr="003348BD" w:rsidRDefault="00D50582" w:rsidP="00D9723E">
            <w:pPr>
              <w:rPr>
                <w:rFonts w:ascii="Arial" w:hAnsi="Arial" w:cs="Arial"/>
              </w:rPr>
            </w:pPr>
            <w:r w:rsidRPr="003348BD">
              <w:rPr>
                <w:rFonts w:ascii="Arial" w:hAnsi="Arial" w:cs="Arial"/>
              </w:rPr>
              <w:t>Policy/strategy</w:t>
            </w:r>
          </w:p>
        </w:tc>
        <w:tc>
          <w:tcPr>
            <w:tcW w:w="2835" w:type="dxa"/>
          </w:tcPr>
          <w:p w14:paraId="0A8EA3FB" w14:textId="77777777" w:rsidR="00D50582" w:rsidRPr="003348BD" w:rsidRDefault="00D50582" w:rsidP="00D9723E">
            <w:pPr>
              <w:rPr>
                <w:rFonts w:ascii="Arial" w:hAnsi="Arial" w:cs="Arial"/>
              </w:rPr>
            </w:pPr>
            <w:r w:rsidRPr="003348BD">
              <w:rPr>
                <w:rFonts w:ascii="Arial" w:hAnsi="Arial" w:cs="Arial"/>
              </w:rPr>
              <w:t>Relevant ambition</w:t>
            </w:r>
          </w:p>
        </w:tc>
        <w:tc>
          <w:tcPr>
            <w:tcW w:w="3492" w:type="dxa"/>
          </w:tcPr>
          <w:p w14:paraId="1D358B7C" w14:textId="77777777" w:rsidR="00D50582" w:rsidRPr="003348BD" w:rsidRDefault="00D50582" w:rsidP="00D9723E">
            <w:pPr>
              <w:rPr>
                <w:rFonts w:ascii="Arial" w:hAnsi="Arial" w:cs="Arial"/>
              </w:rPr>
            </w:pPr>
            <w:r w:rsidRPr="003348BD">
              <w:rPr>
                <w:rFonts w:ascii="Arial" w:hAnsi="Arial" w:cs="Arial"/>
              </w:rPr>
              <w:t>Contribution of workplace-health consensus</w:t>
            </w:r>
          </w:p>
        </w:tc>
      </w:tr>
      <w:tr w:rsidR="00D50582" w:rsidRPr="003348BD" w14:paraId="41C7FCB1" w14:textId="77777777" w:rsidTr="00D9723E">
        <w:tc>
          <w:tcPr>
            <w:tcW w:w="2689" w:type="dxa"/>
          </w:tcPr>
          <w:p w14:paraId="4621EDFD" w14:textId="77777777" w:rsidR="00D50582" w:rsidRPr="003348BD" w:rsidRDefault="00D50582" w:rsidP="00D9723E">
            <w:pPr>
              <w:rPr>
                <w:rFonts w:ascii="Arial" w:hAnsi="Arial" w:cs="Arial"/>
              </w:rPr>
            </w:pPr>
            <w:r w:rsidRPr="003348BD">
              <w:rPr>
                <w:rFonts w:ascii="Arial" w:hAnsi="Arial" w:cs="Arial"/>
              </w:rPr>
              <w:t>Industrial Strategy</w:t>
            </w:r>
          </w:p>
        </w:tc>
        <w:tc>
          <w:tcPr>
            <w:tcW w:w="2835" w:type="dxa"/>
          </w:tcPr>
          <w:p w14:paraId="1EB3E43F" w14:textId="77777777" w:rsidR="00D50582" w:rsidRPr="003348BD" w:rsidRDefault="00D50582" w:rsidP="00D9723E">
            <w:pPr>
              <w:rPr>
                <w:rFonts w:ascii="Arial" w:hAnsi="Arial" w:cs="Arial"/>
              </w:rPr>
            </w:pPr>
            <w:r w:rsidRPr="003348BD">
              <w:rPr>
                <w:rFonts w:ascii="Arial" w:hAnsi="Arial" w:cs="Arial"/>
              </w:rPr>
              <w:t>Economic growth and productivity</w:t>
            </w:r>
          </w:p>
        </w:tc>
        <w:tc>
          <w:tcPr>
            <w:tcW w:w="3492" w:type="dxa"/>
          </w:tcPr>
          <w:p w14:paraId="7647F67C" w14:textId="77777777" w:rsidR="00D50582" w:rsidRPr="003348BD" w:rsidRDefault="00D50582" w:rsidP="00D9723E">
            <w:pPr>
              <w:rPr>
                <w:rFonts w:ascii="Arial" w:hAnsi="Arial" w:cs="Arial"/>
              </w:rPr>
            </w:pPr>
            <w:r w:rsidRPr="003348BD">
              <w:rPr>
                <w:rFonts w:ascii="Arial" w:hAnsi="Arial" w:cs="Arial"/>
              </w:rPr>
              <w:t>Supports a healthy, productive and sustainable Creative Industries workforce.</w:t>
            </w:r>
          </w:p>
        </w:tc>
      </w:tr>
      <w:tr w:rsidR="00D50582" w:rsidRPr="003348BD" w14:paraId="15E6F6A6" w14:textId="77777777" w:rsidTr="00D9723E">
        <w:tc>
          <w:tcPr>
            <w:tcW w:w="2689" w:type="dxa"/>
          </w:tcPr>
          <w:p w14:paraId="3035DFB4" w14:textId="77777777" w:rsidR="00D50582" w:rsidRPr="003348BD" w:rsidRDefault="00D50582" w:rsidP="00D9723E">
            <w:pPr>
              <w:rPr>
                <w:rFonts w:ascii="Arial" w:hAnsi="Arial" w:cs="Arial"/>
              </w:rPr>
            </w:pPr>
            <w:r w:rsidRPr="003348BD">
              <w:rPr>
                <w:rFonts w:ascii="Arial" w:hAnsi="Arial" w:cs="Arial"/>
              </w:rPr>
              <w:t>Creative Industries Sector Plan</w:t>
            </w:r>
          </w:p>
        </w:tc>
        <w:tc>
          <w:tcPr>
            <w:tcW w:w="2835" w:type="dxa"/>
          </w:tcPr>
          <w:p w14:paraId="1DD3C838" w14:textId="77777777" w:rsidR="00D50582" w:rsidRPr="003348BD" w:rsidRDefault="00D50582" w:rsidP="00D9723E">
            <w:pPr>
              <w:rPr>
                <w:rFonts w:ascii="Arial" w:hAnsi="Arial" w:cs="Arial"/>
              </w:rPr>
            </w:pPr>
            <w:r w:rsidRPr="003348BD">
              <w:rPr>
                <w:rFonts w:ascii="Arial" w:hAnsi="Arial" w:cs="Arial"/>
              </w:rPr>
              <w:t>Growth and development of the sector</w:t>
            </w:r>
          </w:p>
        </w:tc>
        <w:tc>
          <w:tcPr>
            <w:tcW w:w="3492" w:type="dxa"/>
          </w:tcPr>
          <w:p w14:paraId="60B4DF4A" w14:textId="77777777" w:rsidR="00D50582" w:rsidRPr="003348BD" w:rsidRDefault="00D50582" w:rsidP="00D9723E">
            <w:pPr>
              <w:rPr>
                <w:rFonts w:ascii="Arial" w:hAnsi="Arial" w:cs="Arial"/>
              </w:rPr>
            </w:pPr>
            <w:r w:rsidRPr="003348BD">
              <w:rPr>
                <w:rFonts w:ascii="Arial" w:hAnsi="Arial" w:cs="Arial"/>
              </w:rPr>
              <w:t>Places workforce health alongside skills, productivity and organisational sustainability.</w:t>
            </w:r>
          </w:p>
        </w:tc>
      </w:tr>
      <w:tr w:rsidR="00D50582" w:rsidRPr="003348BD" w14:paraId="1C118720" w14:textId="77777777" w:rsidTr="00D9723E">
        <w:tc>
          <w:tcPr>
            <w:tcW w:w="2689" w:type="dxa"/>
          </w:tcPr>
          <w:p w14:paraId="5890ECD6" w14:textId="77777777" w:rsidR="00D50582" w:rsidRPr="003348BD" w:rsidRDefault="00D50582" w:rsidP="00D9723E">
            <w:pPr>
              <w:rPr>
                <w:rFonts w:ascii="Arial" w:hAnsi="Arial" w:cs="Arial"/>
              </w:rPr>
            </w:pPr>
            <w:r w:rsidRPr="003348BD">
              <w:rPr>
                <w:rFonts w:ascii="Arial" w:hAnsi="Arial" w:cs="Arial"/>
              </w:rPr>
              <w:t>10-Year Health Plan for England</w:t>
            </w:r>
          </w:p>
        </w:tc>
        <w:tc>
          <w:tcPr>
            <w:tcW w:w="2835" w:type="dxa"/>
          </w:tcPr>
          <w:p w14:paraId="4ADA9FDD" w14:textId="77777777" w:rsidR="00D50582" w:rsidRPr="003348BD" w:rsidRDefault="00D50582" w:rsidP="00D9723E">
            <w:pPr>
              <w:rPr>
                <w:rFonts w:ascii="Arial" w:hAnsi="Arial" w:cs="Arial"/>
              </w:rPr>
            </w:pPr>
            <w:r w:rsidRPr="003348BD">
              <w:rPr>
                <w:rFonts w:ascii="Arial" w:hAnsi="Arial" w:cs="Arial"/>
              </w:rPr>
              <w:t>Prevention and improving health</w:t>
            </w:r>
          </w:p>
        </w:tc>
        <w:tc>
          <w:tcPr>
            <w:tcW w:w="3492" w:type="dxa"/>
          </w:tcPr>
          <w:p w14:paraId="4033BE1F" w14:textId="77777777" w:rsidR="00D50582" w:rsidRPr="003348BD" w:rsidRDefault="00D50582" w:rsidP="00D9723E">
            <w:pPr>
              <w:rPr>
                <w:rFonts w:ascii="Arial" w:hAnsi="Arial" w:cs="Arial"/>
              </w:rPr>
            </w:pPr>
            <w:r w:rsidRPr="003348BD">
              <w:rPr>
                <w:rFonts w:ascii="Arial" w:hAnsi="Arial" w:cs="Arial"/>
              </w:rPr>
              <w:t>Applies prevention and healthy-work principles to a major workforce.</w:t>
            </w:r>
          </w:p>
        </w:tc>
      </w:tr>
      <w:tr w:rsidR="00D50582" w:rsidRPr="003348BD" w14:paraId="6A6625E3" w14:textId="77777777" w:rsidTr="00D9723E">
        <w:tc>
          <w:tcPr>
            <w:tcW w:w="2689" w:type="dxa"/>
          </w:tcPr>
          <w:p w14:paraId="6779A4A0" w14:textId="77777777" w:rsidR="00D50582" w:rsidRPr="003348BD" w:rsidRDefault="00D50582" w:rsidP="00D9723E">
            <w:pPr>
              <w:rPr>
                <w:rFonts w:ascii="Arial" w:hAnsi="Arial" w:cs="Arial"/>
              </w:rPr>
            </w:pPr>
            <w:r w:rsidRPr="003348BD">
              <w:rPr>
                <w:rFonts w:ascii="Arial" w:hAnsi="Arial" w:cs="Arial"/>
              </w:rPr>
              <w:t>Get Britain Working</w:t>
            </w:r>
          </w:p>
        </w:tc>
        <w:tc>
          <w:tcPr>
            <w:tcW w:w="2835" w:type="dxa"/>
          </w:tcPr>
          <w:p w14:paraId="40AD6B56" w14:textId="77777777" w:rsidR="00D50582" w:rsidRPr="003348BD" w:rsidRDefault="00D50582" w:rsidP="00D9723E">
            <w:pPr>
              <w:rPr>
                <w:rFonts w:ascii="Arial" w:hAnsi="Arial" w:cs="Arial"/>
              </w:rPr>
            </w:pPr>
            <w:r w:rsidRPr="003348BD">
              <w:rPr>
                <w:rFonts w:ascii="Arial" w:hAnsi="Arial" w:cs="Arial"/>
              </w:rPr>
              <w:t>Economic participation and reducing barriers to work</w:t>
            </w:r>
          </w:p>
        </w:tc>
        <w:tc>
          <w:tcPr>
            <w:tcW w:w="3492" w:type="dxa"/>
          </w:tcPr>
          <w:p w14:paraId="57FB9A95" w14:textId="77777777" w:rsidR="00D50582" w:rsidRPr="003348BD" w:rsidRDefault="00D50582" w:rsidP="00D9723E">
            <w:pPr>
              <w:rPr>
                <w:rFonts w:ascii="Arial" w:hAnsi="Arial" w:cs="Arial"/>
              </w:rPr>
            </w:pPr>
            <w:r w:rsidRPr="003348BD">
              <w:rPr>
                <w:rFonts w:ascii="Arial" w:hAnsi="Arial" w:cs="Arial"/>
              </w:rPr>
              <w:t>Supports retention, rehabilitation and healthier working lives.</w:t>
            </w:r>
          </w:p>
        </w:tc>
      </w:tr>
      <w:tr w:rsidR="00D50582" w:rsidRPr="003348BD" w14:paraId="5B33A664" w14:textId="77777777" w:rsidTr="00D9723E">
        <w:tc>
          <w:tcPr>
            <w:tcW w:w="2689" w:type="dxa"/>
          </w:tcPr>
          <w:p w14:paraId="6BC8548C" w14:textId="77777777" w:rsidR="00D50582" w:rsidRPr="003348BD" w:rsidRDefault="00D50582" w:rsidP="00D9723E">
            <w:pPr>
              <w:rPr>
                <w:rFonts w:ascii="Arial" w:hAnsi="Arial" w:cs="Arial"/>
              </w:rPr>
            </w:pPr>
            <w:r w:rsidRPr="003348BD">
              <w:rPr>
                <w:rFonts w:ascii="Arial" w:hAnsi="Arial" w:cs="Arial"/>
              </w:rPr>
              <w:t>Keep Britain Working</w:t>
            </w:r>
          </w:p>
        </w:tc>
        <w:tc>
          <w:tcPr>
            <w:tcW w:w="2835" w:type="dxa"/>
          </w:tcPr>
          <w:p w14:paraId="7F606BF4" w14:textId="77777777" w:rsidR="00D50582" w:rsidRPr="003348BD" w:rsidRDefault="00D50582" w:rsidP="00D9723E">
            <w:pPr>
              <w:rPr>
                <w:rFonts w:ascii="Arial" w:hAnsi="Arial" w:cs="Arial"/>
              </w:rPr>
            </w:pPr>
            <w:r w:rsidRPr="003348BD">
              <w:rPr>
                <w:rFonts w:ascii="Arial" w:hAnsi="Arial" w:cs="Arial"/>
              </w:rPr>
              <w:t>Health and work</w:t>
            </w:r>
          </w:p>
        </w:tc>
        <w:tc>
          <w:tcPr>
            <w:tcW w:w="3492" w:type="dxa"/>
          </w:tcPr>
          <w:p w14:paraId="311A5B77" w14:textId="77777777" w:rsidR="00D50582" w:rsidRPr="003348BD" w:rsidRDefault="00D50582" w:rsidP="00D9723E">
            <w:pPr>
              <w:rPr>
                <w:rFonts w:ascii="Arial" w:hAnsi="Arial" w:cs="Arial"/>
              </w:rPr>
            </w:pPr>
            <w:r w:rsidRPr="003348BD">
              <w:rPr>
                <w:rFonts w:ascii="Arial" w:hAnsi="Arial" w:cs="Arial"/>
              </w:rPr>
              <w:t>Provides a sector-specific context for retaining people in work and preventing avoidable economic inactivity.</w:t>
            </w:r>
          </w:p>
        </w:tc>
      </w:tr>
      <w:tr w:rsidR="00D50582" w:rsidRPr="003348BD" w14:paraId="33C1E0CB" w14:textId="77777777" w:rsidTr="00D9723E">
        <w:tc>
          <w:tcPr>
            <w:tcW w:w="2689" w:type="dxa"/>
          </w:tcPr>
          <w:p w14:paraId="67833313" w14:textId="77777777" w:rsidR="00D50582" w:rsidRPr="003348BD" w:rsidRDefault="00D50582" w:rsidP="00D9723E">
            <w:pPr>
              <w:rPr>
                <w:rFonts w:ascii="Arial" w:hAnsi="Arial" w:cs="Arial"/>
              </w:rPr>
            </w:pPr>
            <w:r w:rsidRPr="003348BD">
              <w:rPr>
                <w:rFonts w:ascii="Arial" w:hAnsi="Arial" w:cs="Arial"/>
              </w:rPr>
              <w:t>Creative Health Review</w:t>
            </w:r>
          </w:p>
        </w:tc>
        <w:tc>
          <w:tcPr>
            <w:tcW w:w="2835" w:type="dxa"/>
          </w:tcPr>
          <w:p w14:paraId="2F4B5D8F" w14:textId="77777777" w:rsidR="00D50582" w:rsidRPr="003348BD" w:rsidRDefault="00D50582" w:rsidP="00D9723E">
            <w:pPr>
              <w:rPr>
                <w:rFonts w:ascii="Arial" w:hAnsi="Arial" w:cs="Arial"/>
              </w:rPr>
            </w:pPr>
            <w:r w:rsidRPr="003348BD">
              <w:rPr>
                <w:rFonts w:ascii="Arial" w:hAnsi="Arial" w:cs="Arial"/>
              </w:rPr>
              <w:t>Creativity and health</w:t>
            </w:r>
          </w:p>
        </w:tc>
        <w:tc>
          <w:tcPr>
            <w:tcW w:w="3492" w:type="dxa"/>
          </w:tcPr>
          <w:p w14:paraId="795101E0" w14:textId="77777777" w:rsidR="00D50582" w:rsidRPr="003348BD" w:rsidRDefault="00D50582" w:rsidP="00D9723E">
            <w:pPr>
              <w:rPr>
                <w:rFonts w:ascii="Arial" w:hAnsi="Arial" w:cs="Arial"/>
              </w:rPr>
            </w:pPr>
            <w:r w:rsidRPr="003348BD">
              <w:rPr>
                <w:rFonts w:ascii="Arial" w:hAnsi="Arial" w:cs="Arial"/>
              </w:rPr>
              <w:t>Complements population-health benefits of creativity with attention to the health of the people delivering creative activity.</w:t>
            </w:r>
          </w:p>
        </w:tc>
      </w:tr>
      <w:tr w:rsidR="00D50582" w:rsidRPr="003348BD" w14:paraId="24D725D6" w14:textId="77777777" w:rsidTr="00D9723E">
        <w:tc>
          <w:tcPr>
            <w:tcW w:w="2689" w:type="dxa"/>
          </w:tcPr>
          <w:p w14:paraId="2FD98D4F" w14:textId="77777777" w:rsidR="00D50582" w:rsidRPr="003348BD" w:rsidRDefault="00D50582" w:rsidP="00D9723E">
            <w:pPr>
              <w:rPr>
                <w:rFonts w:ascii="Arial" w:hAnsi="Arial" w:cs="Arial"/>
              </w:rPr>
            </w:pPr>
            <w:r w:rsidRPr="003348BD">
              <w:rPr>
                <w:rFonts w:ascii="Arial" w:hAnsi="Arial" w:cs="Arial"/>
              </w:rPr>
              <w:t>AOMRC Health and Work Consensus</w:t>
            </w:r>
          </w:p>
        </w:tc>
        <w:tc>
          <w:tcPr>
            <w:tcW w:w="2835" w:type="dxa"/>
          </w:tcPr>
          <w:p w14:paraId="480EE711" w14:textId="77777777" w:rsidR="00D50582" w:rsidRPr="003348BD" w:rsidRDefault="00D50582" w:rsidP="00D9723E">
            <w:pPr>
              <w:rPr>
                <w:rFonts w:ascii="Arial" w:hAnsi="Arial" w:cs="Arial"/>
              </w:rPr>
            </w:pPr>
            <w:r w:rsidRPr="003348BD">
              <w:rPr>
                <w:rFonts w:ascii="Arial" w:hAnsi="Arial" w:cs="Arial"/>
              </w:rPr>
              <w:t>Health professionals supporting work</w:t>
            </w:r>
          </w:p>
        </w:tc>
        <w:tc>
          <w:tcPr>
            <w:tcW w:w="3492" w:type="dxa"/>
          </w:tcPr>
          <w:p w14:paraId="7EC34912" w14:textId="77777777" w:rsidR="00D50582" w:rsidRPr="003348BD" w:rsidRDefault="00D50582" w:rsidP="00D9723E">
            <w:pPr>
              <w:rPr>
                <w:rFonts w:ascii="Arial" w:hAnsi="Arial" w:cs="Arial"/>
              </w:rPr>
            </w:pPr>
            <w:r w:rsidRPr="003348BD">
              <w:rPr>
                <w:rFonts w:ascii="Arial" w:hAnsi="Arial" w:cs="Arial"/>
              </w:rPr>
              <w:t>Provides a professional framework that can be applied to the distinctive Creative Industries context.</w:t>
            </w:r>
          </w:p>
        </w:tc>
      </w:tr>
    </w:tbl>
    <w:p w14:paraId="6CD3449A" w14:textId="77777777" w:rsidR="00D50582" w:rsidRPr="003348BD" w:rsidRDefault="00D50582" w:rsidP="00D50582">
      <w:pPr>
        <w:pStyle w:val="Heading1"/>
      </w:pPr>
      <w:r>
        <w:t>9</w:t>
      </w:r>
      <w:r w:rsidRPr="003348BD">
        <w:t>. Supporting references and resources identified in the draft consensus</w:t>
      </w:r>
    </w:p>
    <w:p w14:paraId="7FFBBB2E"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Healthcare Professionals’ Consensus Statement for Action on Health and Work (AOMRC, 2025).</w:t>
      </w:r>
    </w:p>
    <w:p w14:paraId="7748E1FF"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Industrial Strategy and Creative Industries Sector Plan.</w:t>
      </w:r>
    </w:p>
    <w:p w14:paraId="4212F171"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Creative Industries Policy and Evidence Centre, The Good Work Review.</w:t>
      </w:r>
      <w:r w:rsidRPr="003348BD">
        <w:rPr>
          <w:rFonts w:cs="Arial"/>
          <w:sz w:val="24"/>
          <w:szCs w:val="24"/>
        </w:rPr>
        <w:footnoteReference w:id="9"/>
      </w:r>
    </w:p>
    <w:p w14:paraId="6BC554FD"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Get Britain Working White Paper (2024).</w:t>
      </w:r>
    </w:p>
    <w:p w14:paraId="0C5A5F0E"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lastRenderedPageBreak/>
        <w:t>Keep Britain Working: Final Report (2025).</w:t>
      </w:r>
    </w:p>
    <w:p w14:paraId="01FD5A5B"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Creative Health Review (2023), National Centre for Creative Health and All-Party Parliamentary Group on Arts, Health and Wellbeing.</w:t>
      </w:r>
      <w:r w:rsidRPr="003348BD">
        <w:rPr>
          <w:rFonts w:cs="Arial"/>
          <w:sz w:val="24"/>
          <w:szCs w:val="24"/>
        </w:rPr>
        <w:footnoteReference w:id="10"/>
      </w:r>
    </w:p>
    <w:p w14:paraId="6F80065C"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Creative Industries Policy and Evidence Centre, Geographies of Creativity: State of the Nations report (2023).</w:t>
      </w:r>
    </w:p>
    <w:p w14:paraId="1D80E532"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Film and TV Charity, Principles for Mentally Healthy Productions.</w:t>
      </w:r>
    </w:p>
    <w:p w14:paraId="74E57D9C"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Film and TV Charity, Money Matters: Financial Resilience Report.</w:t>
      </w:r>
    </w:p>
    <w:p w14:paraId="2310D0B2"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Musicians’ Census, Financial Insights Report (2023).</w:t>
      </w:r>
    </w:p>
    <w:p w14:paraId="5722FC6D"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European Commission, The Health and Wellbeing of Professional Musicians and Music Creators in the EU – insights from research for policy and practice.</w:t>
      </w:r>
    </w:p>
    <w:p w14:paraId="743AD18A"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Freelance Dance Artists’ Working Ecology.</w:t>
      </w:r>
    </w:p>
    <w:p w14:paraId="0F858336"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The Role and Impact of Freelancers in the UK Dance Sector.</w:t>
      </w:r>
    </w:p>
    <w:p w14:paraId="10076DA3"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Forthcoming Position Paper on health promotion in tertiary music education, referenced in the draft consensus.</w:t>
      </w:r>
    </w:p>
    <w:p w14:paraId="0805B07A" w14:textId="77777777" w:rsidR="00D50582" w:rsidRPr="003348BD" w:rsidRDefault="00D50582" w:rsidP="00D50582">
      <w:pPr>
        <w:pStyle w:val="Heading1"/>
      </w:pPr>
      <w:r>
        <w:t>10</w:t>
      </w:r>
      <w:r w:rsidRPr="003348BD">
        <w:t>. Evidence gap and research priorities</w:t>
      </w:r>
    </w:p>
    <w:p w14:paraId="5D4FFCE1" w14:textId="77777777" w:rsidR="00D50582" w:rsidRPr="003348BD" w:rsidRDefault="00D50582" w:rsidP="00D50582">
      <w:pPr>
        <w:rPr>
          <w:rFonts w:ascii="Arial" w:hAnsi="Arial" w:cs="Arial"/>
        </w:rPr>
      </w:pPr>
      <w:r w:rsidRPr="003348BD">
        <w:rPr>
          <w:rFonts w:ascii="Arial" w:hAnsi="Arial" w:cs="Arial"/>
        </w:rPr>
        <w:t>The current evidence base demonstrates the importance of workplace health but is uneven across subsectors and topics. The consensus therefore provides an opportunity to strengthen the evidence base through evaluation, research and sharing of practice.</w:t>
      </w:r>
    </w:p>
    <w:p w14:paraId="60A5254B"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Health outcomes across different Creative Industries subsectors and occupations.</w:t>
      </w:r>
    </w:p>
    <w:p w14:paraId="3A949B1E"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Physical as well as mental health outcomes.</w:t>
      </w:r>
    </w:p>
    <w:p w14:paraId="720FA4D0"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Health and workplace experiences of freelancers and self-employed workers.</w:t>
      </w:r>
    </w:p>
    <w:p w14:paraId="5D32B460"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Disability, long-term conditions, neurodivergence and reasonable adjustments.</w:t>
      </w:r>
    </w:p>
    <w:p w14:paraId="7D3EA79B"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Access to occupational health, HR and health-and-work support.</w:t>
      </w:r>
    </w:p>
    <w:p w14:paraId="67B0D241"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Work-related occupational exposures and discipline-specific prevention.</w:t>
      </w:r>
    </w:p>
    <w:p w14:paraId="057EE5A7"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The effectiveness and cost-effectiveness of workplace-health interventions.</w:t>
      </w:r>
    </w:p>
    <w:p w14:paraId="703CE991"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Career-stage differences, including early-career and later-career workers.</w:t>
      </w:r>
    </w:p>
    <w:p w14:paraId="6BD95ED4"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 xml:space="preserve">Differences between large </w:t>
      </w:r>
      <w:proofErr w:type="spellStart"/>
      <w:r w:rsidRPr="003348BD">
        <w:rPr>
          <w:rFonts w:cs="Arial"/>
          <w:sz w:val="24"/>
          <w:szCs w:val="24"/>
        </w:rPr>
        <w:t>organisations</w:t>
      </w:r>
      <w:proofErr w:type="spellEnd"/>
      <w:r w:rsidRPr="003348BD">
        <w:rPr>
          <w:rFonts w:cs="Arial"/>
          <w:sz w:val="24"/>
          <w:szCs w:val="24"/>
        </w:rPr>
        <w:t>, SMEs, microbusinesses and independent practitioners.</w:t>
      </w:r>
    </w:p>
    <w:p w14:paraId="0D17CE4D"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Health inequalities within the Creative Industries workforce.</w:t>
      </w:r>
    </w:p>
    <w:p w14:paraId="65520702" w14:textId="77777777" w:rsidR="00D50582" w:rsidRPr="003348BD" w:rsidRDefault="00D50582" w:rsidP="00D50582">
      <w:pPr>
        <w:pStyle w:val="ListBullet"/>
        <w:tabs>
          <w:tab w:val="num" w:pos="360"/>
        </w:tabs>
        <w:ind w:left="360" w:hanging="360"/>
        <w:rPr>
          <w:rFonts w:cs="Arial"/>
          <w:sz w:val="24"/>
          <w:szCs w:val="24"/>
        </w:rPr>
      </w:pPr>
      <w:r w:rsidRPr="003348BD">
        <w:rPr>
          <w:rFonts w:cs="Arial"/>
          <w:sz w:val="24"/>
          <w:szCs w:val="24"/>
        </w:rPr>
        <w:t>The relationship between workplace health, retention, productivity and sector growth.</w:t>
      </w:r>
    </w:p>
    <w:p w14:paraId="6D74AC3D" w14:textId="77777777" w:rsidR="0020502E" w:rsidRDefault="0020502E"/>
    <w:sectPr w:rsidR="0020502E" w:rsidSect="00D5058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2980" w14:textId="77777777" w:rsidR="001F2EE5" w:rsidRDefault="001F2EE5" w:rsidP="00D50582">
      <w:pPr>
        <w:spacing w:after="0" w:line="240" w:lineRule="auto"/>
      </w:pPr>
      <w:r>
        <w:separator/>
      </w:r>
    </w:p>
  </w:endnote>
  <w:endnote w:type="continuationSeparator" w:id="0">
    <w:p w14:paraId="55FD74DA" w14:textId="77777777" w:rsidR="001F2EE5" w:rsidRDefault="001F2EE5" w:rsidP="00D50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A66E" w14:textId="77777777" w:rsidR="00B60822" w:rsidRDefault="00B60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1D93754" w14:paraId="08BF6BA3" w14:textId="77777777" w:rsidTr="01D93754">
      <w:trPr>
        <w:trHeight w:val="300"/>
      </w:trPr>
      <w:tc>
        <w:tcPr>
          <w:tcW w:w="3005" w:type="dxa"/>
        </w:tcPr>
        <w:p w14:paraId="1FBE42B3" w14:textId="77777777" w:rsidR="00B60822" w:rsidRDefault="00B60822" w:rsidP="01D93754">
          <w:pPr>
            <w:pStyle w:val="Header"/>
            <w:ind w:left="-115"/>
          </w:pPr>
        </w:p>
      </w:tc>
      <w:tc>
        <w:tcPr>
          <w:tcW w:w="3005" w:type="dxa"/>
        </w:tcPr>
        <w:p w14:paraId="61118B24" w14:textId="77777777" w:rsidR="00B60822" w:rsidRDefault="00B60822" w:rsidP="01D93754">
          <w:pPr>
            <w:pStyle w:val="Header"/>
            <w:jc w:val="center"/>
          </w:pPr>
        </w:p>
      </w:tc>
      <w:tc>
        <w:tcPr>
          <w:tcW w:w="3005" w:type="dxa"/>
        </w:tcPr>
        <w:p w14:paraId="7913D42B" w14:textId="77777777" w:rsidR="00B60822" w:rsidRDefault="00B60822" w:rsidP="01D93754">
          <w:pPr>
            <w:pStyle w:val="Header"/>
            <w:ind w:right="-115"/>
            <w:jc w:val="right"/>
          </w:pPr>
        </w:p>
      </w:tc>
    </w:tr>
  </w:tbl>
  <w:p w14:paraId="329102FD" w14:textId="77777777" w:rsidR="00B60822" w:rsidRDefault="00B60822" w:rsidP="01D937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57D3" w14:textId="77777777" w:rsidR="00B60822" w:rsidRDefault="00B60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8841C" w14:textId="77777777" w:rsidR="001F2EE5" w:rsidRDefault="001F2EE5" w:rsidP="00D50582">
      <w:pPr>
        <w:spacing w:after="0" w:line="240" w:lineRule="auto"/>
      </w:pPr>
      <w:r>
        <w:separator/>
      </w:r>
    </w:p>
  </w:footnote>
  <w:footnote w:type="continuationSeparator" w:id="0">
    <w:p w14:paraId="4B277572" w14:textId="77777777" w:rsidR="001F2EE5" w:rsidRDefault="001F2EE5" w:rsidP="00D50582">
      <w:pPr>
        <w:spacing w:after="0" w:line="240" w:lineRule="auto"/>
      </w:pPr>
      <w:r>
        <w:continuationSeparator/>
      </w:r>
    </w:p>
  </w:footnote>
  <w:footnote w:id="1">
    <w:p w14:paraId="3BC60F51" w14:textId="77777777" w:rsidR="00D50582" w:rsidRPr="00BB3DDB" w:rsidRDefault="00D50582" w:rsidP="00D50582">
      <w:pPr>
        <w:spacing w:after="0" w:line="240" w:lineRule="auto"/>
        <w:rPr>
          <w:rFonts w:ascii="Arial" w:hAnsi="Arial" w:cs="Arial"/>
          <w:sz w:val="20"/>
          <w:szCs w:val="20"/>
        </w:rPr>
      </w:pPr>
      <w:r w:rsidRPr="00BB3DDB">
        <w:rPr>
          <w:rFonts w:ascii="Arial" w:hAnsi="Arial" w:cs="Arial"/>
          <w:sz w:val="20"/>
          <w:szCs w:val="20"/>
        </w:rPr>
        <w:footnoteRef/>
      </w:r>
      <w:r>
        <w:rPr>
          <w:rFonts w:ascii="Arial" w:hAnsi="Arial" w:cs="Arial"/>
          <w:sz w:val="20"/>
          <w:szCs w:val="20"/>
        </w:rPr>
        <w:t xml:space="preserve"> </w:t>
      </w:r>
      <w:r w:rsidRPr="00BB3DDB">
        <w:rPr>
          <w:rFonts w:ascii="Arial" w:hAnsi="Arial" w:cs="Arial"/>
          <w:sz w:val="20"/>
          <w:szCs w:val="20"/>
        </w:rPr>
        <w:t>Department for Culture, Media and Sport (2025), DCMS Sectors Economic Estimates: Gross Value Added 2024 (provisional). The Creative Industries contributed an estimated £145.8 billion in 2024, equivalent to 5.5% of UK GVA.</w:t>
      </w:r>
    </w:p>
  </w:footnote>
  <w:footnote w:id="2">
    <w:p w14:paraId="38467330" w14:textId="77777777" w:rsidR="00D50582" w:rsidRPr="00BB3DDB" w:rsidRDefault="00D50582" w:rsidP="00D50582">
      <w:pPr>
        <w:rPr>
          <w:rFonts w:ascii="Arial" w:hAnsi="Arial" w:cs="Arial"/>
        </w:rPr>
      </w:pPr>
      <w:r w:rsidRPr="00BB3DDB">
        <w:rPr>
          <w:rFonts w:ascii="Arial" w:hAnsi="Arial" w:cs="Arial"/>
          <w:sz w:val="20"/>
          <w:szCs w:val="20"/>
        </w:rPr>
        <w:footnoteRef/>
      </w:r>
      <w:r>
        <w:rPr>
          <w:rFonts w:ascii="Arial" w:hAnsi="Arial" w:cs="Arial"/>
          <w:sz w:val="20"/>
          <w:szCs w:val="20"/>
        </w:rPr>
        <w:t xml:space="preserve"> </w:t>
      </w:r>
      <w:r w:rsidRPr="00BB3DDB">
        <w:rPr>
          <w:rFonts w:ascii="Arial" w:hAnsi="Arial" w:cs="Arial"/>
          <w:sz w:val="20"/>
          <w:szCs w:val="20"/>
        </w:rPr>
        <w:t>Film and TV Charity (2024), Looking Glass Survey 2024. 35% of respondents described their mental health as poor or very poor, compared with 24% in 2022.</w:t>
      </w:r>
    </w:p>
  </w:footnote>
  <w:footnote w:id="3">
    <w:p w14:paraId="01BDCD56" w14:textId="77777777" w:rsidR="00D50582" w:rsidRPr="00BB3DDB" w:rsidRDefault="00D50582" w:rsidP="00D50582">
      <w:pPr>
        <w:spacing w:after="0" w:line="240" w:lineRule="auto"/>
        <w:rPr>
          <w:rFonts w:ascii="Arial" w:hAnsi="Arial" w:cs="Arial"/>
          <w:sz w:val="20"/>
          <w:szCs w:val="20"/>
        </w:rPr>
      </w:pPr>
      <w:r w:rsidRPr="00BB3DDB">
        <w:rPr>
          <w:rFonts w:ascii="Arial" w:hAnsi="Arial" w:cs="Arial"/>
          <w:sz w:val="20"/>
          <w:szCs w:val="20"/>
        </w:rPr>
        <w:footnoteRef/>
      </w:r>
      <w:r>
        <w:rPr>
          <w:rFonts w:ascii="Arial" w:hAnsi="Arial" w:cs="Arial"/>
          <w:sz w:val="20"/>
          <w:szCs w:val="20"/>
        </w:rPr>
        <w:t xml:space="preserve"> </w:t>
      </w:r>
      <w:r w:rsidRPr="00BB3DDB">
        <w:rPr>
          <w:rFonts w:ascii="Arial" w:hAnsi="Arial" w:cs="Arial"/>
          <w:sz w:val="20"/>
          <w:szCs w:val="20"/>
        </w:rPr>
        <w:t>Film and TV Charity (2024), Money Matters: Financial Resilience Report. Survey of 2,026 film, TV and cinema workers; findings include 42% with less than £1,000 in cash savings, including 27% with no cash savings, and 40% reporting they could make ends meet for no more than one month if they lost their income.</w:t>
      </w:r>
    </w:p>
  </w:footnote>
  <w:footnote w:id="4">
    <w:p w14:paraId="697B0800" w14:textId="77777777" w:rsidR="00D50582" w:rsidRPr="00BB3DDB" w:rsidRDefault="00D50582" w:rsidP="00D50582">
      <w:pPr>
        <w:spacing w:after="0" w:line="240" w:lineRule="auto"/>
        <w:rPr>
          <w:rFonts w:ascii="Arial" w:hAnsi="Arial" w:cs="Arial"/>
          <w:sz w:val="20"/>
          <w:szCs w:val="20"/>
        </w:rPr>
      </w:pPr>
      <w:r w:rsidRPr="00BB3DDB">
        <w:rPr>
          <w:rFonts w:ascii="Arial" w:hAnsi="Arial" w:cs="Arial"/>
          <w:sz w:val="20"/>
          <w:szCs w:val="20"/>
        </w:rPr>
        <w:footnoteRef/>
      </w:r>
      <w:r>
        <w:rPr>
          <w:rFonts w:ascii="Arial" w:hAnsi="Arial" w:cs="Arial"/>
          <w:sz w:val="20"/>
          <w:szCs w:val="20"/>
        </w:rPr>
        <w:t xml:space="preserve"> </w:t>
      </w:r>
      <w:r w:rsidRPr="00BB3DDB">
        <w:rPr>
          <w:rFonts w:ascii="Arial" w:hAnsi="Arial" w:cs="Arial"/>
          <w:sz w:val="20"/>
          <w:szCs w:val="20"/>
        </w:rPr>
        <w:t>Musicians’ Census (2023), Musicians’ Census: Financial Insights Report. The draft consensus cites the finding that 28% of self-employed musicians reported access to an employer-contributed pension.</w:t>
      </w:r>
    </w:p>
  </w:footnote>
  <w:footnote w:id="5">
    <w:p w14:paraId="2FEEC4D7" w14:textId="77777777" w:rsidR="00D50582" w:rsidRDefault="00D50582" w:rsidP="00D50582">
      <w:pPr>
        <w:spacing w:after="0" w:line="240" w:lineRule="auto"/>
      </w:pPr>
      <w:r w:rsidRPr="00BB3DDB">
        <w:rPr>
          <w:rFonts w:ascii="Arial" w:hAnsi="Arial" w:cs="Arial"/>
          <w:sz w:val="20"/>
          <w:szCs w:val="20"/>
        </w:rPr>
        <w:footnoteRef/>
      </w:r>
      <w:r>
        <w:rPr>
          <w:rFonts w:ascii="Arial" w:hAnsi="Arial" w:cs="Arial"/>
          <w:sz w:val="20"/>
          <w:szCs w:val="20"/>
        </w:rPr>
        <w:t xml:space="preserve"> </w:t>
      </w:r>
      <w:r w:rsidRPr="00BB3DDB">
        <w:rPr>
          <w:rFonts w:ascii="Arial" w:hAnsi="Arial" w:cs="Arial"/>
          <w:sz w:val="20"/>
          <w:szCs w:val="20"/>
        </w:rPr>
        <w:t>Department for Culture, Media and Sport (2025), DCMS Sectors Economic Estimates: Gross Value Added 2024 (provisional).</w:t>
      </w:r>
    </w:p>
  </w:footnote>
  <w:footnote w:id="6">
    <w:p w14:paraId="7602389B" w14:textId="77777777" w:rsidR="00D50582" w:rsidRPr="00B22115" w:rsidRDefault="00D50582" w:rsidP="00D50582">
      <w:pPr>
        <w:spacing w:after="0" w:line="240" w:lineRule="auto"/>
        <w:rPr>
          <w:rFonts w:ascii="Arial" w:hAnsi="Arial" w:cs="Arial"/>
          <w:sz w:val="20"/>
          <w:szCs w:val="20"/>
        </w:rPr>
      </w:pPr>
      <w:r w:rsidRPr="00B22115">
        <w:rPr>
          <w:rFonts w:ascii="Arial" w:hAnsi="Arial" w:cs="Arial"/>
          <w:sz w:val="20"/>
          <w:szCs w:val="20"/>
        </w:rPr>
        <w:footnoteRef/>
      </w:r>
      <w:r>
        <w:rPr>
          <w:rFonts w:ascii="Arial" w:hAnsi="Arial" w:cs="Arial"/>
          <w:sz w:val="20"/>
          <w:szCs w:val="20"/>
        </w:rPr>
        <w:t xml:space="preserve"> </w:t>
      </w:r>
      <w:r w:rsidRPr="00B22115">
        <w:rPr>
          <w:rFonts w:ascii="Arial" w:hAnsi="Arial" w:cs="Arial"/>
          <w:sz w:val="20"/>
          <w:szCs w:val="20"/>
        </w:rPr>
        <w:t>Film and TV Charity, Principles for Mentally Healthy Productions and associated research and resources.</w:t>
      </w:r>
    </w:p>
  </w:footnote>
  <w:footnote w:id="7">
    <w:p w14:paraId="4E427D9B" w14:textId="77777777" w:rsidR="00D50582" w:rsidRPr="00B22115" w:rsidRDefault="00D50582" w:rsidP="00D50582">
      <w:pPr>
        <w:spacing w:after="0" w:line="240" w:lineRule="auto"/>
        <w:rPr>
          <w:rFonts w:ascii="Arial" w:hAnsi="Arial" w:cs="Arial"/>
          <w:sz w:val="20"/>
          <w:szCs w:val="20"/>
        </w:rPr>
      </w:pPr>
      <w:r w:rsidRPr="00B22115">
        <w:rPr>
          <w:rFonts w:ascii="Arial" w:hAnsi="Arial" w:cs="Arial"/>
          <w:sz w:val="20"/>
          <w:szCs w:val="20"/>
        </w:rPr>
        <w:footnoteRef/>
      </w:r>
      <w:r>
        <w:rPr>
          <w:rFonts w:ascii="Arial" w:hAnsi="Arial" w:cs="Arial"/>
          <w:sz w:val="20"/>
          <w:szCs w:val="20"/>
        </w:rPr>
        <w:t xml:space="preserve"> </w:t>
      </w:r>
      <w:r w:rsidRPr="00B22115">
        <w:rPr>
          <w:rFonts w:ascii="Arial" w:hAnsi="Arial" w:cs="Arial"/>
          <w:sz w:val="20"/>
          <w:szCs w:val="20"/>
        </w:rPr>
        <w:t>Musicians’ Census (2023), Financial Insights Report; European Commission (2023), The Health and Wellbeing of Professional Musicians and Music Creators in the EU – insights from research for policy and practice.</w:t>
      </w:r>
    </w:p>
  </w:footnote>
  <w:footnote w:id="8">
    <w:p w14:paraId="67D98157" w14:textId="77777777" w:rsidR="00D50582" w:rsidRDefault="00D50582" w:rsidP="00D50582">
      <w:pPr>
        <w:spacing w:after="0" w:line="240" w:lineRule="auto"/>
      </w:pPr>
      <w:r w:rsidRPr="00B22115">
        <w:rPr>
          <w:rFonts w:ascii="Arial" w:hAnsi="Arial" w:cs="Arial"/>
          <w:sz w:val="20"/>
          <w:szCs w:val="20"/>
        </w:rPr>
        <w:footnoteRef/>
      </w:r>
      <w:r>
        <w:rPr>
          <w:rFonts w:ascii="Arial" w:hAnsi="Arial" w:cs="Arial"/>
          <w:sz w:val="20"/>
          <w:szCs w:val="20"/>
        </w:rPr>
        <w:t xml:space="preserve"> </w:t>
      </w:r>
      <w:r w:rsidRPr="00B22115">
        <w:rPr>
          <w:rFonts w:ascii="Arial" w:hAnsi="Arial" w:cs="Arial"/>
          <w:sz w:val="20"/>
          <w:szCs w:val="20"/>
        </w:rPr>
        <w:t>Freelance Dance Artists’ Working Ecology; Dance Sector research, The Role and Impact of Freelancers in the UK Dance Sector.</w:t>
      </w:r>
    </w:p>
  </w:footnote>
  <w:footnote w:id="9">
    <w:p w14:paraId="1E43E53D" w14:textId="77777777" w:rsidR="00D50582" w:rsidRDefault="00D50582" w:rsidP="00D50582">
      <w:r>
        <w:footnoteRef/>
      </w:r>
      <w:r>
        <w:t>Creative Industries Policy and Evidence Centre, The Good Work Review.</w:t>
      </w:r>
    </w:p>
  </w:footnote>
  <w:footnote w:id="10">
    <w:p w14:paraId="2DBE0797" w14:textId="77777777" w:rsidR="00D50582" w:rsidRDefault="00D50582" w:rsidP="00D50582">
      <w:r>
        <w:footnoteRef/>
      </w:r>
      <w:r>
        <w:t>National Centre for Creative Health and All-Party Parliamentary Group on Arts, Health and Wellbeing (2023), Creative Health Review.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CC7D" w14:textId="77777777" w:rsidR="00B60822" w:rsidRDefault="00B60822">
    <w:pPr>
      <w:pStyle w:val="Header"/>
    </w:pPr>
    <w:r>
      <w:rPr>
        <w:noProof/>
      </w:rPr>
      <mc:AlternateContent>
        <mc:Choice Requires="wps">
          <w:drawing>
            <wp:anchor distT="0" distB="0" distL="0" distR="0" simplePos="0" relativeHeight="251657728" behindDoc="0" locked="0" layoutInCell="1" allowOverlap="1" wp14:anchorId="2B114256" wp14:editId="502AA579">
              <wp:simplePos x="635" y="635"/>
              <wp:positionH relativeFrom="page">
                <wp:align>left</wp:align>
              </wp:positionH>
              <wp:positionV relativeFrom="page">
                <wp:align>top</wp:align>
              </wp:positionV>
              <wp:extent cx="1339850" cy="1095375"/>
              <wp:effectExtent l="0" t="0" r="12700" b="9525"/>
              <wp:wrapNone/>
              <wp:docPr id="722042729" name="Text Box 2" descr="OFFICIAL-SENSITIVE&#10;&#10;&#10;&#10;">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9850" cy="1095375"/>
                      </a:xfrm>
                      <a:prstGeom prst="rect">
                        <a:avLst/>
                      </a:prstGeom>
                      <a:noFill/>
                      <a:ln>
                        <a:noFill/>
                      </a:ln>
                    </wps:spPr>
                    <wps:txbx>
                      <w:txbxContent>
                        <w:p w14:paraId="252CE163" w14:textId="77777777" w:rsidR="00B60822" w:rsidRPr="003C13F0" w:rsidRDefault="00B60822" w:rsidP="003C13F0">
                          <w:pPr>
                            <w:spacing w:after="0"/>
                            <w:rPr>
                              <w:rFonts w:ascii="Aptos" w:eastAsia="Aptos" w:hAnsi="Aptos" w:cs="Aptos"/>
                              <w:noProof/>
                              <w:color w:val="000000"/>
                              <w:sz w:val="20"/>
                              <w:szCs w:val="20"/>
                            </w:rPr>
                          </w:pPr>
                          <w:r w:rsidRPr="003C13F0">
                            <w:rPr>
                              <w:rFonts w:ascii="Aptos" w:eastAsia="Aptos" w:hAnsi="Aptos" w:cs="Aptos"/>
                              <w:noProof/>
                              <w:color w:val="000000"/>
                              <w:sz w:val="20"/>
                              <w:szCs w:val="20"/>
                            </w:rPr>
                            <w:t>OFFICIAL-SENSITIVE</w:t>
                          </w:r>
                        </w:p>
                        <w:p w14:paraId="45CF5C05" w14:textId="77777777" w:rsidR="00B60822" w:rsidRPr="003C13F0" w:rsidRDefault="00B60822" w:rsidP="003C13F0">
                          <w:pPr>
                            <w:spacing w:after="0"/>
                            <w:rPr>
                              <w:rFonts w:ascii="Aptos" w:eastAsia="Aptos" w:hAnsi="Aptos" w:cs="Aptos"/>
                              <w:noProof/>
                              <w:color w:val="000000"/>
                              <w:sz w:val="20"/>
                              <w:szCs w:val="20"/>
                            </w:rPr>
                          </w:pPr>
                        </w:p>
                        <w:p w14:paraId="3F0A097A" w14:textId="77777777" w:rsidR="00B60822" w:rsidRPr="003C13F0" w:rsidRDefault="00B60822" w:rsidP="003C13F0">
                          <w:pPr>
                            <w:spacing w:after="0"/>
                            <w:rPr>
                              <w:rFonts w:ascii="Aptos" w:eastAsia="Aptos" w:hAnsi="Aptos" w:cs="Aptos"/>
                              <w:noProof/>
                              <w:color w:val="000000"/>
                              <w:sz w:val="20"/>
                              <w:szCs w:val="20"/>
                            </w:rPr>
                          </w:pPr>
                        </w:p>
                        <w:p w14:paraId="7F1A691B" w14:textId="77777777" w:rsidR="00B60822" w:rsidRPr="003C13F0" w:rsidRDefault="00B60822" w:rsidP="003C13F0">
                          <w:pPr>
                            <w:spacing w:after="0"/>
                            <w:rPr>
                              <w:rFonts w:ascii="Aptos" w:eastAsia="Aptos" w:hAnsi="Aptos" w:cs="Aptos"/>
                              <w:noProof/>
                              <w:color w:val="000000"/>
                              <w:sz w:val="20"/>
                              <w:szCs w:val="20"/>
                            </w:rPr>
                          </w:pPr>
                        </w:p>
                        <w:p w14:paraId="333F1E34" w14:textId="77777777" w:rsidR="00B60822" w:rsidRPr="003C13F0" w:rsidRDefault="00B60822" w:rsidP="003C13F0">
                          <w:pPr>
                            <w:spacing w:after="0"/>
                            <w:rPr>
                              <w:rFonts w:ascii="Aptos" w:eastAsia="Aptos" w:hAnsi="Aptos" w:cs="Aptos"/>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114256" id="_x0000_t202" coordsize="21600,21600" o:spt="202" path="m,l,21600r21600,l21600,xe">
              <v:stroke joinstyle="miter"/>
              <v:path gradientshapeok="t" o:connecttype="rect"/>
            </v:shapetype>
            <v:shape id="Text Box 2" o:spid="_x0000_s1026" type="#_x0000_t202" alt="OFFICIAL-SENSITIVE&#10;&#10;&#10;&#10;" style="position:absolute;margin-left:0;margin-top:0;width:105.5pt;height:86.25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" filled="f" stroked="f">
              <v:textbox style="mso-fit-shape-to-text:t" inset="20pt,15pt,0,0">
                <w:txbxContent>
                  <w:p w14:paraId="252CE163" w14:textId="77777777" w:rsidR="00B60822" w:rsidRPr="003C13F0" w:rsidRDefault="00B60822" w:rsidP="003C13F0">
                    <w:pPr>
                      <w:spacing w:after="0"/>
                      <w:rPr>
                        <w:rFonts w:ascii="Aptos" w:eastAsia="Aptos" w:hAnsi="Aptos" w:cs="Aptos"/>
                        <w:noProof/>
                        <w:color w:val="000000"/>
                        <w:sz w:val="20"/>
                        <w:szCs w:val="20"/>
                      </w:rPr>
                    </w:pPr>
                    <w:r w:rsidRPr="003C13F0">
                      <w:rPr>
                        <w:rFonts w:ascii="Aptos" w:eastAsia="Aptos" w:hAnsi="Aptos" w:cs="Aptos"/>
                        <w:noProof/>
                        <w:color w:val="000000"/>
                        <w:sz w:val="20"/>
                        <w:szCs w:val="20"/>
                      </w:rPr>
                      <w:t>OFFICIAL-SENSITIVE</w:t>
                    </w:r>
                  </w:p>
                  <w:p w14:paraId="45CF5C05" w14:textId="77777777" w:rsidR="00B60822" w:rsidRPr="003C13F0" w:rsidRDefault="00B60822" w:rsidP="003C13F0">
                    <w:pPr>
                      <w:spacing w:after="0"/>
                      <w:rPr>
                        <w:rFonts w:ascii="Aptos" w:eastAsia="Aptos" w:hAnsi="Aptos" w:cs="Aptos"/>
                        <w:noProof/>
                        <w:color w:val="000000"/>
                        <w:sz w:val="20"/>
                        <w:szCs w:val="20"/>
                      </w:rPr>
                    </w:pPr>
                  </w:p>
                  <w:p w14:paraId="3F0A097A" w14:textId="77777777" w:rsidR="00B60822" w:rsidRPr="003C13F0" w:rsidRDefault="00B60822" w:rsidP="003C13F0">
                    <w:pPr>
                      <w:spacing w:after="0"/>
                      <w:rPr>
                        <w:rFonts w:ascii="Aptos" w:eastAsia="Aptos" w:hAnsi="Aptos" w:cs="Aptos"/>
                        <w:noProof/>
                        <w:color w:val="000000"/>
                        <w:sz w:val="20"/>
                        <w:szCs w:val="20"/>
                      </w:rPr>
                    </w:pPr>
                  </w:p>
                  <w:p w14:paraId="7F1A691B" w14:textId="77777777" w:rsidR="00B60822" w:rsidRPr="003C13F0" w:rsidRDefault="00B60822" w:rsidP="003C13F0">
                    <w:pPr>
                      <w:spacing w:after="0"/>
                      <w:rPr>
                        <w:rFonts w:ascii="Aptos" w:eastAsia="Aptos" w:hAnsi="Aptos" w:cs="Aptos"/>
                        <w:noProof/>
                        <w:color w:val="000000"/>
                        <w:sz w:val="20"/>
                        <w:szCs w:val="20"/>
                      </w:rPr>
                    </w:pPr>
                  </w:p>
                  <w:p w14:paraId="333F1E34" w14:textId="77777777" w:rsidR="00B60822" w:rsidRPr="003C13F0" w:rsidRDefault="00B60822" w:rsidP="003C13F0">
                    <w:pPr>
                      <w:spacing w:after="0"/>
                      <w:rPr>
                        <w:rFonts w:ascii="Aptos" w:eastAsia="Aptos" w:hAnsi="Aptos" w:cs="Aptos"/>
                        <w:noProof/>
                        <w:color w:val="000000"/>
                        <w:sz w:val="20"/>
                        <w:szCs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1D93754" w14:paraId="1B9C776B" w14:textId="77777777" w:rsidTr="01D93754">
      <w:trPr>
        <w:trHeight w:val="300"/>
      </w:trPr>
      <w:tc>
        <w:tcPr>
          <w:tcW w:w="3005" w:type="dxa"/>
        </w:tcPr>
        <w:p w14:paraId="1F691FAE" w14:textId="77777777" w:rsidR="00B60822" w:rsidRDefault="00B60822" w:rsidP="01D93754">
          <w:pPr>
            <w:pStyle w:val="Header"/>
            <w:ind w:left="-115"/>
          </w:pPr>
        </w:p>
      </w:tc>
      <w:tc>
        <w:tcPr>
          <w:tcW w:w="3005" w:type="dxa"/>
        </w:tcPr>
        <w:p w14:paraId="1EF11D52" w14:textId="77777777" w:rsidR="00B60822" w:rsidRDefault="00B60822" w:rsidP="01D93754">
          <w:pPr>
            <w:pStyle w:val="Header"/>
            <w:jc w:val="center"/>
          </w:pPr>
        </w:p>
      </w:tc>
      <w:tc>
        <w:tcPr>
          <w:tcW w:w="3005" w:type="dxa"/>
        </w:tcPr>
        <w:p w14:paraId="22FE94BA" w14:textId="77777777" w:rsidR="00B60822" w:rsidRDefault="00B60822" w:rsidP="01D93754">
          <w:pPr>
            <w:pStyle w:val="Header"/>
            <w:ind w:right="-115"/>
            <w:jc w:val="right"/>
          </w:pPr>
        </w:p>
      </w:tc>
    </w:tr>
  </w:tbl>
  <w:p w14:paraId="5C9E0129" w14:textId="77777777" w:rsidR="00B60822" w:rsidRDefault="001F2EE5" w:rsidP="00BD69A4">
    <w:pPr>
      <w:pStyle w:val="Header"/>
      <w:jc w:val="center"/>
    </w:pPr>
    <w:sdt>
      <w:sdtPr>
        <w:rPr>
          <w:b/>
          <w:bCs/>
        </w:rPr>
        <w:id w:val="239835523"/>
        <w:docPartObj>
          <w:docPartGallery w:val="Watermarks"/>
          <w:docPartUnique/>
        </w:docPartObj>
      </w:sdtPr>
      <w:sdtEndPr/>
      <w:sdtContent>
        <w:r>
          <w:rPr>
            <w:b/>
            <w:bCs/>
          </w:rPr>
          <w:pict w14:anchorId="6E35E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60822" w:rsidRPr="00BD69A4">
      <w:rPr>
        <w:b/>
        <w:bCs/>
      </w:rPr>
      <w:t xml:space="preserve">DRAFT </w:t>
    </w:r>
    <w:r w:rsidR="00B60822">
      <w:t>CONSENSUS STATEMENT ON WORKPLACE HEALTH IN CREATIVE INDUSTRIES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2F09" w14:textId="77777777" w:rsidR="00B60822" w:rsidRDefault="00B60822">
    <w:pPr>
      <w:pStyle w:val="Header"/>
    </w:pPr>
    <w:r>
      <w:rPr>
        <w:noProof/>
      </w:rPr>
      <mc:AlternateContent>
        <mc:Choice Requires="wps">
          <w:drawing>
            <wp:anchor distT="0" distB="0" distL="0" distR="0" simplePos="0" relativeHeight="251656704" behindDoc="0" locked="0" layoutInCell="1" allowOverlap="1" wp14:anchorId="0F1AF0B2" wp14:editId="1790990F">
              <wp:simplePos x="635" y="635"/>
              <wp:positionH relativeFrom="page">
                <wp:align>left</wp:align>
              </wp:positionH>
              <wp:positionV relativeFrom="page">
                <wp:align>top</wp:align>
              </wp:positionV>
              <wp:extent cx="1339850" cy="1095375"/>
              <wp:effectExtent l="0" t="0" r="12700" b="9525"/>
              <wp:wrapNone/>
              <wp:docPr id="731893584" name="Text Box 1" descr="OFFICIAL-SENSITIVE&#10;&#10;&#10;&#10;">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9850" cy="1095375"/>
                      </a:xfrm>
                      <a:prstGeom prst="rect">
                        <a:avLst/>
                      </a:prstGeom>
                      <a:noFill/>
                      <a:ln>
                        <a:noFill/>
                      </a:ln>
                    </wps:spPr>
                    <wps:txbx>
                      <w:txbxContent>
                        <w:p w14:paraId="3AD46CAC" w14:textId="77777777" w:rsidR="00B60822" w:rsidRPr="003C13F0" w:rsidRDefault="00B60822" w:rsidP="003C13F0">
                          <w:pPr>
                            <w:spacing w:after="0"/>
                            <w:rPr>
                              <w:rFonts w:ascii="Aptos" w:eastAsia="Aptos" w:hAnsi="Aptos" w:cs="Aptos"/>
                              <w:noProof/>
                              <w:color w:val="000000"/>
                              <w:sz w:val="20"/>
                              <w:szCs w:val="20"/>
                            </w:rPr>
                          </w:pPr>
                          <w:r w:rsidRPr="003C13F0">
                            <w:rPr>
                              <w:rFonts w:ascii="Aptos" w:eastAsia="Aptos" w:hAnsi="Aptos" w:cs="Aptos"/>
                              <w:noProof/>
                              <w:color w:val="000000"/>
                              <w:sz w:val="20"/>
                              <w:szCs w:val="20"/>
                            </w:rPr>
                            <w:t>OFFICIAL-SENSITIVE</w:t>
                          </w:r>
                        </w:p>
                        <w:p w14:paraId="0259E5C5" w14:textId="77777777" w:rsidR="00B60822" w:rsidRPr="003C13F0" w:rsidRDefault="00B60822" w:rsidP="003C13F0">
                          <w:pPr>
                            <w:spacing w:after="0"/>
                            <w:rPr>
                              <w:rFonts w:ascii="Aptos" w:eastAsia="Aptos" w:hAnsi="Aptos" w:cs="Aptos"/>
                              <w:noProof/>
                              <w:color w:val="000000"/>
                              <w:sz w:val="20"/>
                              <w:szCs w:val="20"/>
                            </w:rPr>
                          </w:pPr>
                        </w:p>
                        <w:p w14:paraId="4DD05D87" w14:textId="77777777" w:rsidR="00B60822" w:rsidRPr="003C13F0" w:rsidRDefault="00B60822" w:rsidP="003C13F0">
                          <w:pPr>
                            <w:spacing w:after="0"/>
                            <w:rPr>
                              <w:rFonts w:ascii="Aptos" w:eastAsia="Aptos" w:hAnsi="Aptos" w:cs="Aptos"/>
                              <w:noProof/>
                              <w:color w:val="000000"/>
                              <w:sz w:val="20"/>
                              <w:szCs w:val="20"/>
                            </w:rPr>
                          </w:pPr>
                        </w:p>
                        <w:p w14:paraId="4DA0EF44" w14:textId="77777777" w:rsidR="00B60822" w:rsidRPr="003C13F0" w:rsidRDefault="00B60822" w:rsidP="003C13F0">
                          <w:pPr>
                            <w:spacing w:after="0"/>
                            <w:rPr>
                              <w:rFonts w:ascii="Aptos" w:eastAsia="Aptos" w:hAnsi="Aptos" w:cs="Aptos"/>
                              <w:noProof/>
                              <w:color w:val="000000"/>
                              <w:sz w:val="20"/>
                              <w:szCs w:val="20"/>
                            </w:rPr>
                          </w:pPr>
                        </w:p>
                        <w:p w14:paraId="3207F1C6" w14:textId="77777777" w:rsidR="00B60822" w:rsidRPr="003C13F0" w:rsidRDefault="00B60822" w:rsidP="003C13F0">
                          <w:pPr>
                            <w:spacing w:after="0"/>
                            <w:rPr>
                              <w:rFonts w:ascii="Aptos" w:eastAsia="Aptos" w:hAnsi="Aptos" w:cs="Aptos"/>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F1AF0B2" id="_x0000_t202" coordsize="21600,21600" o:spt="202" path="m,l,21600r21600,l21600,xe">
              <v:stroke joinstyle="miter"/>
              <v:path gradientshapeok="t" o:connecttype="rect"/>
            </v:shapetype>
            <v:shape id="Text Box 1" o:spid="_x0000_s1027" type="#_x0000_t202" alt="OFFICIAL-SENSITIVE&#10;&#10;&#10;&#10;" style="position:absolute;margin-left:0;margin-top:0;width:105.5pt;height:86.25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" filled="f" stroked="f">
              <v:textbox style="mso-fit-shape-to-text:t" inset="20pt,15pt,0,0">
                <w:txbxContent>
                  <w:p w14:paraId="3AD46CAC" w14:textId="77777777" w:rsidR="00B60822" w:rsidRPr="003C13F0" w:rsidRDefault="00B60822" w:rsidP="003C13F0">
                    <w:pPr>
                      <w:spacing w:after="0"/>
                      <w:rPr>
                        <w:rFonts w:ascii="Aptos" w:eastAsia="Aptos" w:hAnsi="Aptos" w:cs="Aptos"/>
                        <w:noProof/>
                        <w:color w:val="000000"/>
                        <w:sz w:val="20"/>
                        <w:szCs w:val="20"/>
                      </w:rPr>
                    </w:pPr>
                    <w:r w:rsidRPr="003C13F0">
                      <w:rPr>
                        <w:rFonts w:ascii="Aptos" w:eastAsia="Aptos" w:hAnsi="Aptos" w:cs="Aptos"/>
                        <w:noProof/>
                        <w:color w:val="000000"/>
                        <w:sz w:val="20"/>
                        <w:szCs w:val="20"/>
                      </w:rPr>
                      <w:t>OFFICIAL-SENSITIVE</w:t>
                    </w:r>
                  </w:p>
                  <w:p w14:paraId="0259E5C5" w14:textId="77777777" w:rsidR="00B60822" w:rsidRPr="003C13F0" w:rsidRDefault="00B60822" w:rsidP="003C13F0">
                    <w:pPr>
                      <w:spacing w:after="0"/>
                      <w:rPr>
                        <w:rFonts w:ascii="Aptos" w:eastAsia="Aptos" w:hAnsi="Aptos" w:cs="Aptos"/>
                        <w:noProof/>
                        <w:color w:val="000000"/>
                        <w:sz w:val="20"/>
                        <w:szCs w:val="20"/>
                      </w:rPr>
                    </w:pPr>
                  </w:p>
                  <w:p w14:paraId="4DD05D87" w14:textId="77777777" w:rsidR="00B60822" w:rsidRPr="003C13F0" w:rsidRDefault="00B60822" w:rsidP="003C13F0">
                    <w:pPr>
                      <w:spacing w:after="0"/>
                      <w:rPr>
                        <w:rFonts w:ascii="Aptos" w:eastAsia="Aptos" w:hAnsi="Aptos" w:cs="Aptos"/>
                        <w:noProof/>
                        <w:color w:val="000000"/>
                        <w:sz w:val="20"/>
                        <w:szCs w:val="20"/>
                      </w:rPr>
                    </w:pPr>
                  </w:p>
                  <w:p w14:paraId="4DA0EF44" w14:textId="77777777" w:rsidR="00B60822" w:rsidRPr="003C13F0" w:rsidRDefault="00B60822" w:rsidP="003C13F0">
                    <w:pPr>
                      <w:spacing w:after="0"/>
                      <w:rPr>
                        <w:rFonts w:ascii="Aptos" w:eastAsia="Aptos" w:hAnsi="Aptos" w:cs="Aptos"/>
                        <w:noProof/>
                        <w:color w:val="000000"/>
                        <w:sz w:val="20"/>
                        <w:szCs w:val="20"/>
                      </w:rPr>
                    </w:pPr>
                  </w:p>
                  <w:p w14:paraId="3207F1C6" w14:textId="77777777" w:rsidR="00B60822" w:rsidRPr="003C13F0" w:rsidRDefault="00B60822" w:rsidP="003C13F0">
                    <w:pPr>
                      <w:spacing w:after="0"/>
                      <w:rPr>
                        <w:rFonts w:ascii="Aptos" w:eastAsia="Aptos" w:hAnsi="Aptos" w:cs="Aptos"/>
                        <w:noProof/>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220DFE"/>
    <w:lvl w:ilvl="0">
      <w:start w:val="1"/>
      <w:numFmt w:val="bullet"/>
      <w:pStyle w:val="ListBullet"/>
      <w:lvlText w:val=""/>
      <w:lvlJc w:val="left"/>
      <w:pPr>
        <w:tabs>
          <w:tab w:val="num" w:pos="360"/>
        </w:tabs>
        <w:ind w:left="360" w:hanging="360"/>
      </w:pPr>
      <w:rPr>
        <w:rFonts w:ascii="Symbol" w:hAnsi="Symbol" w:hint="default"/>
      </w:rPr>
    </w:lvl>
  </w:abstractNum>
  <w:num w:numId="1" w16cid:durableId="110650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82"/>
    <w:rsid w:val="001D128A"/>
    <w:rsid w:val="001F2EE5"/>
    <w:rsid w:val="0020502E"/>
    <w:rsid w:val="004353CD"/>
    <w:rsid w:val="00731511"/>
    <w:rsid w:val="00856A68"/>
    <w:rsid w:val="00B60822"/>
    <w:rsid w:val="00B65780"/>
    <w:rsid w:val="00D5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EC9BC"/>
  <w15:chartTrackingRefBased/>
  <w15:docId w15:val="{A7B2BFB1-CB05-48D1-AE23-66BBC18A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582"/>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D50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5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5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5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5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5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5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5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5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582"/>
    <w:rPr>
      <w:rFonts w:eastAsiaTheme="majorEastAsia" w:cstheme="majorBidi"/>
      <w:color w:val="272727" w:themeColor="text1" w:themeTint="D8"/>
    </w:rPr>
  </w:style>
  <w:style w:type="paragraph" w:styleId="Title">
    <w:name w:val="Title"/>
    <w:basedOn w:val="Normal"/>
    <w:next w:val="Normal"/>
    <w:link w:val="TitleChar"/>
    <w:uiPriority w:val="10"/>
    <w:qFormat/>
    <w:rsid w:val="00D50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582"/>
    <w:pPr>
      <w:spacing w:before="160"/>
      <w:jc w:val="center"/>
    </w:pPr>
    <w:rPr>
      <w:i/>
      <w:iCs/>
      <w:color w:val="404040" w:themeColor="text1" w:themeTint="BF"/>
    </w:rPr>
  </w:style>
  <w:style w:type="character" w:customStyle="1" w:styleId="QuoteChar">
    <w:name w:val="Quote Char"/>
    <w:basedOn w:val="DefaultParagraphFont"/>
    <w:link w:val="Quote"/>
    <w:uiPriority w:val="29"/>
    <w:rsid w:val="00D50582"/>
    <w:rPr>
      <w:i/>
      <w:iCs/>
      <w:color w:val="404040" w:themeColor="text1" w:themeTint="BF"/>
    </w:rPr>
  </w:style>
  <w:style w:type="paragraph" w:styleId="ListParagraph">
    <w:name w:val="List Paragraph"/>
    <w:basedOn w:val="Normal"/>
    <w:uiPriority w:val="34"/>
    <w:qFormat/>
    <w:rsid w:val="00D50582"/>
    <w:pPr>
      <w:ind w:left="720"/>
      <w:contextualSpacing/>
    </w:pPr>
  </w:style>
  <w:style w:type="character" w:styleId="IntenseEmphasis">
    <w:name w:val="Intense Emphasis"/>
    <w:basedOn w:val="DefaultParagraphFont"/>
    <w:uiPriority w:val="21"/>
    <w:qFormat/>
    <w:rsid w:val="00D50582"/>
    <w:rPr>
      <w:i/>
      <w:iCs/>
      <w:color w:val="0F4761" w:themeColor="accent1" w:themeShade="BF"/>
    </w:rPr>
  </w:style>
  <w:style w:type="paragraph" w:styleId="IntenseQuote">
    <w:name w:val="Intense Quote"/>
    <w:basedOn w:val="Normal"/>
    <w:next w:val="Normal"/>
    <w:link w:val="IntenseQuoteChar"/>
    <w:uiPriority w:val="30"/>
    <w:qFormat/>
    <w:rsid w:val="00D50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582"/>
    <w:rPr>
      <w:i/>
      <w:iCs/>
      <w:color w:val="0F4761" w:themeColor="accent1" w:themeShade="BF"/>
    </w:rPr>
  </w:style>
  <w:style w:type="character" w:styleId="IntenseReference">
    <w:name w:val="Intense Reference"/>
    <w:basedOn w:val="DefaultParagraphFont"/>
    <w:uiPriority w:val="32"/>
    <w:qFormat/>
    <w:rsid w:val="00D50582"/>
    <w:rPr>
      <w:b/>
      <w:bCs/>
      <w:smallCaps/>
      <w:color w:val="0F4761" w:themeColor="accent1" w:themeShade="BF"/>
      <w:spacing w:val="5"/>
    </w:rPr>
  </w:style>
  <w:style w:type="paragraph" w:styleId="Header">
    <w:name w:val="header"/>
    <w:basedOn w:val="Normal"/>
    <w:link w:val="HeaderChar"/>
    <w:uiPriority w:val="99"/>
    <w:unhideWhenUsed/>
    <w:rsid w:val="00D50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82"/>
    <w:rPr>
      <w:rFonts w:eastAsiaTheme="minorEastAsia"/>
      <w:kern w:val="0"/>
      <w:lang w:eastAsia="ja-JP"/>
      <w14:ligatures w14:val="none"/>
    </w:rPr>
  </w:style>
  <w:style w:type="paragraph" w:styleId="Footer">
    <w:name w:val="footer"/>
    <w:basedOn w:val="Normal"/>
    <w:link w:val="FooterChar"/>
    <w:uiPriority w:val="99"/>
    <w:unhideWhenUsed/>
    <w:rsid w:val="00D50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82"/>
    <w:rPr>
      <w:rFonts w:eastAsiaTheme="minorEastAsia"/>
      <w:kern w:val="0"/>
      <w:lang w:eastAsia="ja-JP"/>
      <w14:ligatures w14:val="none"/>
    </w:rPr>
  </w:style>
  <w:style w:type="table" w:styleId="TableGrid">
    <w:name w:val="Table Grid"/>
    <w:basedOn w:val="TableNormal"/>
    <w:uiPriority w:val="59"/>
    <w:rsid w:val="00D50582"/>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D50582"/>
    <w:pPr>
      <w:numPr>
        <w:numId w:val="1"/>
      </w:numPr>
      <w:tabs>
        <w:tab w:val="clear" w:pos="360"/>
      </w:tabs>
      <w:spacing w:after="200" w:line="276" w:lineRule="auto"/>
      <w:ind w:left="0" w:firstLine="0"/>
      <w:contextualSpacing/>
    </w:pPr>
    <w:rPr>
      <w:rFonts w:ascii="Arial" w:hAnsi="Arial"/>
      <w:sz w:val="21"/>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7D51E28706A4A82F9851BAD47ED1A" ma:contentTypeVersion="3" ma:contentTypeDescription="Create a new document." ma:contentTypeScope="" ma:versionID="8d13b047b9b9cfdc829315f6d9cf2d46">
  <xsd:schema xmlns:xsd="http://www.w3.org/2001/XMLSchema" xmlns:xs="http://www.w3.org/2001/XMLSchema" xmlns:p="http://schemas.microsoft.com/office/2006/metadata/properties" xmlns:ns2="0e4dd614-8383-48cc-a461-674b8959635c" targetNamespace="http://schemas.microsoft.com/office/2006/metadata/properties" ma:root="true" ma:fieldsID="5dd879d7f30cd17cf621713210d7ba13" ns2:_="">
    <xsd:import namespace="0e4dd614-8383-48cc-a461-674b895963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dd614-8383-48cc-a461-674b8959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5A1B1-940F-4602-B19D-1AC4F9B341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7ADF96-0F84-4402-85D2-BA04797CD6A3}">
  <ds:schemaRefs>
    <ds:schemaRef ds:uri="http://schemas.microsoft.com/sharepoint/v3/contenttype/forms"/>
  </ds:schemaRefs>
</ds:datastoreItem>
</file>

<file path=customXml/itemProps3.xml><?xml version="1.0" encoding="utf-8"?>
<ds:datastoreItem xmlns:ds="http://schemas.openxmlformats.org/officeDocument/2006/customXml" ds:itemID="{3DD895B3-9E1E-41B9-9D08-672542CDB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4dd614-8383-48cc-a461-674b89596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278c30-91a8-4c31-8c1f-ef4de8973a1c}" enabled="0" method="" siteId="{61278c30-91a8-4c31-8c1f-ef4de8973a1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1962</Words>
  <Characters>12268</Characters>
  <Application>Microsoft Office Word</Application>
  <DocSecurity>0</DocSecurity>
  <Lines>266</Lines>
  <Paragraphs>96</Paragraphs>
  <ScaleCrop>false</ScaleCrop>
  <Company>Department of Health and Social Care</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Varney-Bennett, Justin</dc:creator>
  <cp:keywords/>
  <dc:description/>
  <cp:lastModifiedBy>Varney-Bennett, Justin</cp:lastModifiedBy>
  <cp:revision>2</cp:revision>
  <dcterms:created xsi:type="dcterms:W3CDTF">2026-08-21T09:01:00Z</dcterms:created>
  <dcterms:modified xsi:type="dcterms:W3CDTF">2026-08-21T09:01:00Z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0x010100D917D51E28706A4A82F9851BAD47ED1A</vt:lpwstr>
  </property>
</Properties>
</file>