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5329D61" w14:textId="33C18910" w:rsidR="009B1DD9" w:rsidRPr="002B4A29" w:rsidRDefault="00CD29F4" w:rsidP="00723A1B">
      <w:pPr>
        <w:spacing w:after="0" w:line="240" w:lineRule="auto"/>
        <w:jc w:val="center"/>
        <w:rPr>
          <w:b/>
          <w:color w:val="365F91" w:themeColor="accent1" w:themeShade="BF"/>
          <w:sz w:val="24"/>
          <w:szCs w:val="28"/>
        </w:rPr>
      </w:pPr>
      <w:r w:rsidRPr="002B4A29">
        <w:rPr>
          <w:b/>
          <w:color w:val="365F91" w:themeColor="accent1" w:themeShade="BF"/>
          <w:sz w:val="48"/>
          <w:szCs w:val="28"/>
        </w:rPr>
        <w:t>Case for Change</w:t>
      </w:r>
    </w:p>
    <w:p w14:paraId="41CC69AE" w14:textId="3188DDA3" w:rsidR="009B1DD9" w:rsidRPr="002B4A29" w:rsidRDefault="00CD29F4" w:rsidP="00723A1B">
      <w:pPr>
        <w:spacing w:after="0" w:line="240" w:lineRule="auto"/>
        <w:jc w:val="center"/>
        <w:rPr>
          <w:b/>
          <w:color w:val="365F91" w:themeColor="accent1" w:themeShade="BF"/>
          <w:sz w:val="24"/>
          <w:szCs w:val="28"/>
        </w:rPr>
      </w:pPr>
      <w:r w:rsidRPr="002B4A29">
        <w:rPr>
          <w:b/>
          <w:i/>
          <w:color w:val="365F91" w:themeColor="accent1" w:themeShade="BF"/>
          <w:sz w:val="24"/>
          <w:szCs w:val="28"/>
        </w:rPr>
        <w:t>Workplace Health in the Creative Industries</w:t>
      </w:r>
      <w:r w:rsidR="00403E1F" w:rsidRPr="002B4A29">
        <w:rPr>
          <w:b/>
          <w:i/>
          <w:color w:val="365F91" w:themeColor="accent1" w:themeShade="BF"/>
          <w:sz w:val="24"/>
          <w:szCs w:val="28"/>
        </w:rPr>
        <w:t xml:space="preserve"> Consensus Statement</w:t>
      </w:r>
    </w:p>
    <w:p w14:paraId="59FF1113" w14:textId="1C8065A9" w:rsidR="009B1DD9" w:rsidRPr="002B4A29" w:rsidRDefault="00CD29F4" w:rsidP="00723A1B">
      <w:pPr>
        <w:spacing w:after="0" w:line="240" w:lineRule="auto"/>
        <w:jc w:val="center"/>
        <w:rPr>
          <w:b/>
          <w:color w:val="365F91" w:themeColor="accent1" w:themeShade="BF"/>
          <w:sz w:val="24"/>
          <w:szCs w:val="28"/>
        </w:rPr>
      </w:pPr>
      <w:r w:rsidRPr="002B4A29">
        <w:rPr>
          <w:b/>
          <w:i/>
          <w:color w:val="365F91" w:themeColor="accent1" w:themeShade="BF"/>
          <w:sz w:val="24"/>
          <w:szCs w:val="28"/>
        </w:rPr>
        <w:t>Draft launch material | August 2026</w:t>
      </w:r>
    </w:p>
    <w:p w14:paraId="293EF014" w14:textId="04C8BB65" w:rsidR="009B1DD9" w:rsidRPr="002B4A29" w:rsidRDefault="00AD675F" w:rsidP="002B4A29">
      <w:pPr>
        <w:pStyle w:val="Heading1"/>
        <w:spacing w:before="120"/>
        <w:rPr>
          <w:sz w:val="36"/>
          <w:szCs w:val="36"/>
        </w:rPr>
      </w:pPr>
      <w:r w:rsidRPr="002B4A29">
        <w:rPr>
          <w:noProof/>
          <w:sz w:val="36"/>
          <w:szCs w:val="36"/>
        </w:rPr>
        <w:drawing>
          <wp:anchor distT="0" distB="0" distL="114300" distR="114300" simplePos="0" relativeHeight="251653120" behindDoc="1" locked="0" layoutInCell="1" allowOverlap="1" wp14:anchorId="2B6B5470" wp14:editId="1929B235">
            <wp:simplePos x="0" y="0"/>
            <wp:positionH relativeFrom="column">
              <wp:posOffset>-68580</wp:posOffset>
            </wp:positionH>
            <wp:positionV relativeFrom="paragraph">
              <wp:posOffset>220980</wp:posOffset>
            </wp:positionV>
            <wp:extent cx="2868930" cy="1912620"/>
            <wp:effectExtent l="0" t="0" r="7620" b="0"/>
            <wp:wrapTight wrapText="bothSides">
              <wp:wrapPolygon edited="0">
                <wp:start x="0" y="0"/>
                <wp:lineTo x="0" y="21299"/>
                <wp:lineTo x="21514" y="21299"/>
                <wp:lineTo x="21514" y="0"/>
                <wp:lineTo x="0" y="0"/>
              </wp:wrapPolygon>
            </wp:wrapTight>
            <wp:docPr id="5010529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052986" name="Picture 501052986"/>
                    <pic:cNvPicPr/>
                  </pic:nvPicPr>
                  <pic:blipFill>
                    <a:blip r:embed="rId6"/>
                    <a:stretch>
                      <a:fillRect/>
                    </a:stretch>
                  </pic:blipFill>
                  <pic:spPr>
                    <a:xfrm>
                      <a:off x="0" y="0"/>
                      <a:ext cx="2868930" cy="1912620"/>
                    </a:xfrm>
                    <a:prstGeom prst="rect">
                      <a:avLst/>
                    </a:prstGeom>
                  </pic:spPr>
                </pic:pic>
              </a:graphicData>
            </a:graphic>
            <wp14:sizeRelH relativeFrom="page">
              <wp14:pctWidth>0</wp14:pctWidth>
            </wp14:sizeRelH>
            <wp14:sizeRelV relativeFrom="page">
              <wp14:pctHeight>0</wp14:pctHeight>
            </wp14:sizeRelV>
          </wp:anchor>
        </w:drawing>
      </w:r>
      <w:r w:rsidR="00CD29F4" w:rsidRPr="002B4A29">
        <w:rPr>
          <w:sz w:val="36"/>
          <w:szCs w:val="36"/>
        </w:rPr>
        <w:t xml:space="preserve">Why </w:t>
      </w:r>
      <w:proofErr w:type="gramStart"/>
      <w:r w:rsidR="00CD29F4" w:rsidRPr="002B4A29">
        <w:rPr>
          <w:sz w:val="36"/>
          <w:szCs w:val="36"/>
        </w:rPr>
        <w:t>this matters</w:t>
      </w:r>
      <w:proofErr w:type="gramEnd"/>
    </w:p>
    <w:p w14:paraId="6E8CF180" w14:textId="0966EEDC" w:rsidR="009B1DD9" w:rsidRPr="002B4A29" w:rsidRDefault="00CD29F4" w:rsidP="002B4A29">
      <w:pPr>
        <w:spacing w:after="0"/>
        <w:rPr>
          <w:sz w:val="24"/>
          <w:szCs w:val="28"/>
        </w:rPr>
      </w:pPr>
      <w:r w:rsidRPr="002B4A29">
        <w:rPr>
          <w:sz w:val="24"/>
          <w:szCs w:val="28"/>
        </w:rPr>
        <w:t xml:space="preserve">The relationship between employment and health is fundamental. Good work can provide fulfilment, purpose and social connection, while poor workplace environments can harm physical and mental health. The Creative Industries have distinctive ways of working that create both opportunities and particular workplace-health challenges. </w:t>
      </w:r>
    </w:p>
    <w:p w14:paraId="3019AB38" w14:textId="33481962" w:rsidR="009B1DD9" w:rsidRPr="002B4A29" w:rsidRDefault="00871C15" w:rsidP="002B4A29">
      <w:pPr>
        <w:pStyle w:val="Heading1"/>
        <w:spacing w:before="120"/>
        <w:rPr>
          <w:sz w:val="36"/>
          <w:szCs w:val="36"/>
        </w:rPr>
      </w:pPr>
      <w:r w:rsidRPr="002B4A29">
        <w:rPr>
          <w:noProof/>
          <w:sz w:val="36"/>
          <w:szCs w:val="36"/>
        </w:rPr>
        <w:drawing>
          <wp:anchor distT="0" distB="0" distL="114300" distR="114300" simplePos="0" relativeHeight="251645952" behindDoc="1" locked="0" layoutInCell="1" allowOverlap="1" wp14:anchorId="75C3BF72" wp14:editId="5AAF9749">
            <wp:simplePos x="0" y="0"/>
            <wp:positionH relativeFrom="column">
              <wp:posOffset>4475480</wp:posOffset>
            </wp:positionH>
            <wp:positionV relativeFrom="paragraph">
              <wp:posOffset>228600</wp:posOffset>
            </wp:positionV>
            <wp:extent cx="1682750" cy="2524125"/>
            <wp:effectExtent l="0" t="0" r="0" b="9525"/>
            <wp:wrapSquare wrapText="bothSides"/>
            <wp:docPr id="1808257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25770" name="Picture 180825770"/>
                    <pic:cNvPicPr/>
                  </pic:nvPicPr>
                  <pic:blipFill>
                    <a:blip r:embed="rId7"/>
                    <a:stretch>
                      <a:fillRect/>
                    </a:stretch>
                  </pic:blipFill>
                  <pic:spPr>
                    <a:xfrm>
                      <a:off x="0" y="0"/>
                      <a:ext cx="1682750" cy="2524125"/>
                    </a:xfrm>
                    <a:prstGeom prst="rect">
                      <a:avLst/>
                    </a:prstGeom>
                  </pic:spPr>
                </pic:pic>
              </a:graphicData>
            </a:graphic>
            <wp14:sizeRelH relativeFrom="page">
              <wp14:pctWidth>0</wp14:pctWidth>
            </wp14:sizeRelH>
            <wp14:sizeRelV relativeFrom="page">
              <wp14:pctHeight>0</wp14:pctHeight>
            </wp14:sizeRelV>
          </wp:anchor>
        </w:drawing>
      </w:r>
      <w:r w:rsidR="00CD29F4" w:rsidRPr="002B4A29">
        <w:rPr>
          <w:sz w:val="36"/>
          <w:szCs w:val="36"/>
        </w:rPr>
        <w:t>A major workforce and economic asset</w:t>
      </w:r>
    </w:p>
    <w:p w14:paraId="63CA5696" w14:textId="3B1F1A7E" w:rsidR="009B1DD9" w:rsidRPr="002B4A29" w:rsidRDefault="00CD29F4">
      <w:pPr>
        <w:rPr>
          <w:sz w:val="24"/>
          <w:szCs w:val="28"/>
        </w:rPr>
      </w:pPr>
      <w:r w:rsidRPr="002B4A29">
        <w:rPr>
          <w:sz w:val="24"/>
          <w:szCs w:val="28"/>
        </w:rPr>
        <w:t xml:space="preserve">The draft evidence identifies approximately 2.4 million jobs and £145.8 billion in economic output, around 7% of UK jobs. A healthy workforce is therefore important to economic sustainability as well as individual health. </w:t>
      </w:r>
    </w:p>
    <w:p w14:paraId="6468B120" w14:textId="0CA19CAC" w:rsidR="009B1DD9" w:rsidRPr="002B4A29" w:rsidRDefault="00CD29F4" w:rsidP="002B4A29">
      <w:pPr>
        <w:pStyle w:val="Heading1"/>
        <w:spacing w:before="120"/>
        <w:rPr>
          <w:sz w:val="36"/>
          <w:szCs w:val="36"/>
        </w:rPr>
      </w:pPr>
      <w:r w:rsidRPr="002B4A29">
        <w:rPr>
          <w:sz w:val="36"/>
          <w:szCs w:val="36"/>
        </w:rPr>
        <w:t>Distinctive working arrangements</w:t>
      </w:r>
    </w:p>
    <w:p w14:paraId="1F600366" w14:textId="31B75887" w:rsidR="009B1DD9" w:rsidRPr="002B4A29" w:rsidRDefault="001B5DD2">
      <w:pPr>
        <w:rPr>
          <w:sz w:val="24"/>
          <w:szCs w:val="28"/>
        </w:rPr>
      </w:pPr>
      <w:r w:rsidRPr="002B4A29">
        <w:rPr>
          <w:noProof/>
          <w:sz w:val="36"/>
          <w:szCs w:val="36"/>
        </w:rPr>
        <w:drawing>
          <wp:anchor distT="0" distB="0" distL="114300" distR="114300" simplePos="0" relativeHeight="251663360" behindDoc="1" locked="0" layoutInCell="1" allowOverlap="1" wp14:anchorId="539F7296" wp14:editId="1E3A808B">
            <wp:simplePos x="0" y="0"/>
            <wp:positionH relativeFrom="column">
              <wp:posOffset>0</wp:posOffset>
            </wp:positionH>
            <wp:positionV relativeFrom="paragraph">
              <wp:posOffset>1317625</wp:posOffset>
            </wp:positionV>
            <wp:extent cx="2310130" cy="2887980"/>
            <wp:effectExtent l="0" t="0" r="0" b="7620"/>
            <wp:wrapTight wrapText="bothSides">
              <wp:wrapPolygon edited="0">
                <wp:start x="0" y="0"/>
                <wp:lineTo x="0" y="21515"/>
                <wp:lineTo x="21374" y="21515"/>
                <wp:lineTo x="21374" y="0"/>
                <wp:lineTo x="0" y="0"/>
              </wp:wrapPolygon>
            </wp:wrapTight>
            <wp:docPr id="14897358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735882" name="Picture 1489735882"/>
                    <pic:cNvPicPr/>
                  </pic:nvPicPr>
                  <pic:blipFill>
                    <a:blip r:embed="rId8"/>
                    <a:stretch>
                      <a:fillRect/>
                    </a:stretch>
                  </pic:blipFill>
                  <pic:spPr>
                    <a:xfrm>
                      <a:off x="0" y="0"/>
                      <a:ext cx="2310130" cy="2887980"/>
                    </a:xfrm>
                    <a:prstGeom prst="rect">
                      <a:avLst/>
                    </a:prstGeom>
                  </pic:spPr>
                </pic:pic>
              </a:graphicData>
            </a:graphic>
            <wp14:sizeRelH relativeFrom="page">
              <wp14:pctWidth>0</wp14:pctWidth>
            </wp14:sizeRelH>
            <wp14:sizeRelV relativeFrom="page">
              <wp14:pctHeight>0</wp14:pctHeight>
            </wp14:sizeRelV>
          </wp:anchor>
        </w:drawing>
      </w:r>
      <w:r w:rsidR="00CD29F4" w:rsidRPr="002B4A29">
        <w:rPr>
          <w:sz w:val="24"/>
          <w:szCs w:val="28"/>
        </w:rPr>
        <w:t xml:space="preserve">The workforce includes employees, freelancers, self-employed people, independent practitioners, fixed-term and project-based workers and volunteers. The draft identifies self-employment at 28%, compared with 14% nationally. These arrangements can make continuity of workplace-health support more difficult. </w:t>
      </w:r>
    </w:p>
    <w:p w14:paraId="57542EE3" w14:textId="63B18FAF" w:rsidR="001B5DD2" w:rsidRDefault="001B5DD2" w:rsidP="002B4A29">
      <w:pPr>
        <w:pStyle w:val="Heading1"/>
        <w:spacing w:before="120"/>
        <w:rPr>
          <w:sz w:val="36"/>
          <w:szCs w:val="36"/>
        </w:rPr>
      </w:pPr>
    </w:p>
    <w:p w14:paraId="416F33AD" w14:textId="3E03C55D" w:rsidR="009B1DD9" w:rsidRPr="002B4A29" w:rsidRDefault="00CD29F4" w:rsidP="002B4A29">
      <w:pPr>
        <w:pStyle w:val="Heading1"/>
        <w:spacing w:before="120"/>
        <w:rPr>
          <w:sz w:val="36"/>
          <w:szCs w:val="36"/>
        </w:rPr>
      </w:pPr>
      <w:r w:rsidRPr="002B4A29">
        <w:rPr>
          <w:sz w:val="36"/>
          <w:szCs w:val="36"/>
        </w:rPr>
        <w:t>Health and financial pressures</w:t>
      </w:r>
    </w:p>
    <w:p w14:paraId="621E4298" w14:textId="51EE425C" w:rsidR="009B1DD9" w:rsidRPr="002B4A29" w:rsidRDefault="00CD29F4">
      <w:pPr>
        <w:rPr>
          <w:sz w:val="24"/>
          <w:szCs w:val="28"/>
        </w:rPr>
      </w:pPr>
      <w:r w:rsidRPr="002B4A29">
        <w:rPr>
          <w:sz w:val="24"/>
          <w:szCs w:val="28"/>
        </w:rPr>
        <w:t xml:space="preserve">The draft evidence highlights poor mental health, financial insecurity and occupational risks. In film and television, 35% of workers were reported to rate their mental health as poor or very poor. The evidence also identifies significant financial insecurity and limited access to employer-contributed pensions among self-employed musicians. </w:t>
      </w:r>
    </w:p>
    <w:p w14:paraId="2815297E" w14:textId="050376CF" w:rsidR="000928F8" w:rsidRDefault="007176A9" w:rsidP="002B4A29">
      <w:pPr>
        <w:pStyle w:val="Heading1"/>
        <w:spacing w:before="120"/>
        <w:rPr>
          <w:sz w:val="36"/>
          <w:szCs w:val="36"/>
        </w:rPr>
      </w:pPr>
      <w:r>
        <w:rPr>
          <w:noProof/>
          <w:sz w:val="36"/>
          <w:szCs w:val="36"/>
        </w:rPr>
        <w:lastRenderedPageBreak/>
        <w:drawing>
          <wp:anchor distT="0" distB="0" distL="114300" distR="114300" simplePos="0" relativeHeight="251678720" behindDoc="1" locked="0" layoutInCell="1" allowOverlap="1" wp14:anchorId="6F80817D" wp14:editId="53495C9A">
            <wp:simplePos x="0" y="0"/>
            <wp:positionH relativeFrom="column">
              <wp:posOffset>2659380</wp:posOffset>
            </wp:positionH>
            <wp:positionV relativeFrom="paragraph">
              <wp:posOffset>290830</wp:posOffset>
            </wp:positionV>
            <wp:extent cx="3771900" cy="2514600"/>
            <wp:effectExtent l="0" t="0" r="0" b="0"/>
            <wp:wrapTight wrapText="bothSides">
              <wp:wrapPolygon edited="0">
                <wp:start x="0" y="0"/>
                <wp:lineTo x="0" y="21436"/>
                <wp:lineTo x="21491" y="21436"/>
                <wp:lineTo x="21491" y="0"/>
                <wp:lineTo x="0" y="0"/>
              </wp:wrapPolygon>
            </wp:wrapTight>
            <wp:docPr id="13006429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642964" name="Picture 1300642964"/>
                    <pic:cNvPicPr/>
                  </pic:nvPicPr>
                  <pic:blipFill>
                    <a:blip r:embed="rId9"/>
                    <a:stretch>
                      <a:fillRect/>
                    </a:stretch>
                  </pic:blipFill>
                  <pic:spPr>
                    <a:xfrm>
                      <a:off x="0" y="0"/>
                      <a:ext cx="3771900" cy="2514600"/>
                    </a:xfrm>
                    <a:prstGeom prst="rect">
                      <a:avLst/>
                    </a:prstGeom>
                  </pic:spPr>
                </pic:pic>
              </a:graphicData>
            </a:graphic>
            <wp14:sizeRelH relativeFrom="page">
              <wp14:pctWidth>0</wp14:pctWidth>
            </wp14:sizeRelH>
            <wp14:sizeRelV relativeFrom="page">
              <wp14:pctHeight>0</wp14:pctHeight>
            </wp14:sizeRelV>
          </wp:anchor>
        </w:drawing>
      </w:r>
    </w:p>
    <w:p w14:paraId="3DEDBDC0" w14:textId="6055935E" w:rsidR="009B1DD9" w:rsidRPr="002B4A29" w:rsidRDefault="00CD29F4" w:rsidP="002B4A29">
      <w:pPr>
        <w:pStyle w:val="Heading1"/>
        <w:spacing w:before="120"/>
        <w:rPr>
          <w:sz w:val="36"/>
          <w:szCs w:val="36"/>
        </w:rPr>
      </w:pPr>
      <w:r w:rsidRPr="002B4A29">
        <w:rPr>
          <w:sz w:val="36"/>
          <w:szCs w:val="36"/>
        </w:rPr>
        <w:t>The opportunity</w:t>
      </w:r>
    </w:p>
    <w:p w14:paraId="6495443E" w14:textId="7D3856CC" w:rsidR="009B1DD9" w:rsidRPr="002B4A29" w:rsidRDefault="00CD29F4">
      <w:pPr>
        <w:rPr>
          <w:sz w:val="24"/>
          <w:szCs w:val="28"/>
        </w:rPr>
      </w:pPr>
      <w:r w:rsidRPr="002B4A29">
        <w:rPr>
          <w:sz w:val="24"/>
          <w:szCs w:val="28"/>
        </w:rPr>
        <w:t xml:space="preserve">There is already substantial activity across Creative Industries, occupational health, education, professional bodies and Government. The opportunity is to connect this activity through shared ambition, common language and practical action rather than create competing infrastructure. </w:t>
      </w:r>
    </w:p>
    <w:p w14:paraId="5E8FF84E" w14:textId="77777777" w:rsidR="00563058" w:rsidRPr="002B4A29" w:rsidRDefault="00563058">
      <w:pPr>
        <w:rPr>
          <w:sz w:val="24"/>
          <w:szCs w:val="28"/>
        </w:rPr>
      </w:pPr>
    </w:p>
    <w:p w14:paraId="7C584B85" w14:textId="0CC53809" w:rsidR="00563058" w:rsidRPr="002B4A29" w:rsidRDefault="00563058">
      <w:pPr>
        <w:rPr>
          <w:sz w:val="24"/>
          <w:szCs w:val="28"/>
        </w:rPr>
      </w:pPr>
      <w:r w:rsidRPr="002B4A29">
        <w:rPr>
          <w:noProof/>
          <w:sz w:val="24"/>
          <w:szCs w:val="28"/>
        </w:rPr>
        <w:drawing>
          <wp:anchor distT="0" distB="0" distL="114300" distR="114300" simplePos="0" relativeHeight="251675648" behindDoc="1" locked="0" layoutInCell="1" allowOverlap="1" wp14:anchorId="7BCA8633" wp14:editId="6686892C">
            <wp:simplePos x="0" y="0"/>
            <wp:positionH relativeFrom="column">
              <wp:posOffset>-356235</wp:posOffset>
            </wp:positionH>
            <wp:positionV relativeFrom="paragraph">
              <wp:posOffset>183515</wp:posOffset>
            </wp:positionV>
            <wp:extent cx="3398400" cy="5094000"/>
            <wp:effectExtent l="0" t="0" r="0" b="0"/>
            <wp:wrapTight wrapText="bothSides">
              <wp:wrapPolygon edited="0">
                <wp:start x="0" y="0"/>
                <wp:lineTo x="0" y="21487"/>
                <wp:lineTo x="21434" y="21487"/>
                <wp:lineTo x="21434" y="0"/>
                <wp:lineTo x="0" y="0"/>
              </wp:wrapPolygon>
            </wp:wrapTight>
            <wp:docPr id="11295963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596340" name="Picture 1129596340"/>
                    <pic:cNvPicPr/>
                  </pic:nvPicPr>
                  <pic:blipFill>
                    <a:blip r:embed="rId10"/>
                    <a:stretch>
                      <a:fillRect/>
                    </a:stretch>
                  </pic:blipFill>
                  <pic:spPr>
                    <a:xfrm>
                      <a:off x="0" y="0"/>
                      <a:ext cx="3398400" cy="5094000"/>
                    </a:xfrm>
                    <a:prstGeom prst="rect">
                      <a:avLst/>
                    </a:prstGeom>
                  </pic:spPr>
                </pic:pic>
              </a:graphicData>
            </a:graphic>
            <wp14:sizeRelH relativeFrom="page">
              <wp14:pctWidth>0</wp14:pctWidth>
            </wp14:sizeRelH>
            <wp14:sizeRelV relativeFrom="page">
              <wp14:pctHeight>0</wp14:pctHeight>
            </wp14:sizeRelV>
          </wp:anchor>
        </w:drawing>
      </w:r>
    </w:p>
    <w:p w14:paraId="4D67E207" w14:textId="20FFCA6C" w:rsidR="009B1DD9" w:rsidRPr="002B4A29" w:rsidRDefault="00CD29F4" w:rsidP="002B4A29">
      <w:pPr>
        <w:pStyle w:val="Heading1"/>
        <w:spacing w:before="120"/>
        <w:ind w:left="357"/>
        <w:rPr>
          <w:sz w:val="36"/>
          <w:szCs w:val="36"/>
        </w:rPr>
      </w:pPr>
      <w:r w:rsidRPr="002B4A29">
        <w:rPr>
          <w:sz w:val="36"/>
          <w:szCs w:val="36"/>
        </w:rPr>
        <w:t>What the consensus asks</w:t>
      </w:r>
    </w:p>
    <w:p w14:paraId="255708C7" w14:textId="425F2545" w:rsidR="009B1DD9" w:rsidRPr="00621160" w:rsidRDefault="00CD29F4" w:rsidP="001B5DD2">
      <w:pPr>
        <w:pStyle w:val="ListBullet"/>
        <w:numPr>
          <w:ilvl w:val="0"/>
          <w:numId w:val="11"/>
        </w:numPr>
        <w:spacing w:line="360" w:lineRule="auto"/>
        <w:rPr>
          <w:b/>
          <w:bCs/>
          <w:color w:val="C00000"/>
          <w:sz w:val="24"/>
          <w:szCs w:val="28"/>
        </w:rPr>
      </w:pPr>
      <w:r w:rsidRPr="00621160">
        <w:rPr>
          <w:b/>
          <w:bCs/>
          <w:color w:val="C00000"/>
          <w:sz w:val="24"/>
          <w:szCs w:val="28"/>
        </w:rPr>
        <w:t>Make public commitment</w:t>
      </w:r>
      <w:r w:rsidR="005D4383">
        <w:rPr>
          <w:b/>
          <w:bCs/>
          <w:color w:val="C00000"/>
          <w:sz w:val="24"/>
          <w:szCs w:val="28"/>
        </w:rPr>
        <w:t xml:space="preserve"> as an organisation</w:t>
      </w:r>
      <w:r w:rsidRPr="00621160">
        <w:rPr>
          <w:b/>
          <w:bCs/>
          <w:color w:val="C00000"/>
          <w:sz w:val="24"/>
          <w:szCs w:val="28"/>
        </w:rPr>
        <w:t xml:space="preserve"> to </w:t>
      </w:r>
      <w:r w:rsidR="001B5DD2" w:rsidRPr="00621160">
        <w:rPr>
          <w:b/>
          <w:bCs/>
          <w:color w:val="C00000"/>
          <w:sz w:val="24"/>
          <w:szCs w:val="28"/>
        </w:rPr>
        <w:t>improve</w:t>
      </w:r>
      <w:r w:rsidRPr="00621160">
        <w:rPr>
          <w:b/>
          <w:bCs/>
          <w:color w:val="C00000"/>
          <w:sz w:val="24"/>
          <w:szCs w:val="28"/>
        </w:rPr>
        <w:t xml:space="preserve"> health and wellbeing</w:t>
      </w:r>
      <w:r w:rsidR="005D4383">
        <w:rPr>
          <w:b/>
          <w:bCs/>
          <w:color w:val="C00000"/>
          <w:sz w:val="24"/>
          <w:szCs w:val="28"/>
        </w:rPr>
        <w:t xml:space="preserve"> of staff, volunteers and contractors by signing the consensus.</w:t>
      </w:r>
    </w:p>
    <w:p w14:paraId="16F872CB" w14:textId="195264B8" w:rsidR="009B1DD9" w:rsidRPr="00621160" w:rsidRDefault="00CD29F4" w:rsidP="001B5DD2">
      <w:pPr>
        <w:pStyle w:val="ListBullet"/>
        <w:numPr>
          <w:ilvl w:val="0"/>
          <w:numId w:val="11"/>
        </w:numPr>
        <w:spacing w:line="360" w:lineRule="auto"/>
        <w:rPr>
          <w:b/>
          <w:bCs/>
          <w:color w:val="C00000"/>
          <w:sz w:val="24"/>
          <w:szCs w:val="28"/>
        </w:rPr>
      </w:pPr>
      <w:r w:rsidRPr="00621160">
        <w:rPr>
          <w:b/>
          <w:bCs/>
          <w:color w:val="C00000"/>
          <w:sz w:val="24"/>
          <w:szCs w:val="28"/>
        </w:rPr>
        <w:t>Embed workplace health in education, training and professional standards</w:t>
      </w:r>
      <w:r w:rsidR="001B5DD2">
        <w:rPr>
          <w:b/>
          <w:bCs/>
          <w:color w:val="C00000"/>
          <w:sz w:val="24"/>
          <w:szCs w:val="28"/>
        </w:rPr>
        <w:t xml:space="preserve"> in the workplace</w:t>
      </w:r>
      <w:r w:rsidRPr="00621160">
        <w:rPr>
          <w:b/>
          <w:bCs/>
          <w:color w:val="C00000"/>
          <w:sz w:val="24"/>
          <w:szCs w:val="28"/>
        </w:rPr>
        <w:t>.</w:t>
      </w:r>
    </w:p>
    <w:p w14:paraId="54588793" w14:textId="77777777" w:rsidR="009B1DD9" w:rsidRPr="00621160" w:rsidRDefault="00CD29F4" w:rsidP="001B5DD2">
      <w:pPr>
        <w:pStyle w:val="ListBullet"/>
        <w:numPr>
          <w:ilvl w:val="0"/>
          <w:numId w:val="11"/>
        </w:numPr>
        <w:spacing w:line="360" w:lineRule="auto"/>
        <w:rPr>
          <w:b/>
          <w:bCs/>
          <w:color w:val="C00000"/>
          <w:sz w:val="24"/>
          <w:szCs w:val="28"/>
        </w:rPr>
      </w:pPr>
      <w:r w:rsidRPr="00621160">
        <w:rPr>
          <w:b/>
          <w:bCs/>
          <w:color w:val="C00000"/>
          <w:sz w:val="24"/>
          <w:szCs w:val="28"/>
        </w:rPr>
        <w:t>Increase understanding through evaluation, good practice and research.</w:t>
      </w:r>
    </w:p>
    <w:p w14:paraId="6355E439" w14:textId="69C63E99" w:rsidR="009B1DD9" w:rsidRPr="00621160" w:rsidRDefault="00CD29F4" w:rsidP="001B5DD2">
      <w:pPr>
        <w:pStyle w:val="ListBullet"/>
        <w:numPr>
          <w:ilvl w:val="0"/>
          <w:numId w:val="11"/>
        </w:numPr>
        <w:spacing w:line="360" w:lineRule="auto"/>
        <w:rPr>
          <w:b/>
          <w:bCs/>
          <w:color w:val="C00000"/>
          <w:sz w:val="24"/>
          <w:szCs w:val="36"/>
        </w:rPr>
      </w:pPr>
      <w:r w:rsidRPr="00621160">
        <w:rPr>
          <w:b/>
          <w:bCs/>
          <w:color w:val="C00000"/>
          <w:sz w:val="24"/>
          <w:szCs w:val="28"/>
        </w:rPr>
        <w:t xml:space="preserve">Strengthen recognition of workplace health as a core driver of a healthy, </w:t>
      </w:r>
      <w:r w:rsidRPr="00621160">
        <w:rPr>
          <w:b/>
          <w:bCs/>
          <w:color w:val="C00000"/>
          <w:sz w:val="24"/>
          <w:szCs w:val="36"/>
        </w:rPr>
        <w:t>thriving Creative sector.</w:t>
      </w:r>
    </w:p>
    <w:p w14:paraId="71214608" w14:textId="6D9F7397" w:rsidR="009B1DD9" w:rsidRPr="002B4A29" w:rsidRDefault="00CD29F4" w:rsidP="006D1DDC">
      <w:pPr>
        <w:ind w:left="360"/>
        <w:rPr>
          <w:sz w:val="24"/>
          <w:szCs w:val="24"/>
        </w:rPr>
      </w:pPr>
      <w:r w:rsidRPr="002B4A29">
        <w:rPr>
          <w:sz w:val="24"/>
          <w:szCs w:val="24"/>
        </w:rPr>
        <w:t xml:space="preserve">The launch </w:t>
      </w:r>
      <w:r w:rsidR="00403E1F" w:rsidRPr="002B4A29">
        <w:rPr>
          <w:sz w:val="24"/>
          <w:szCs w:val="24"/>
        </w:rPr>
        <w:t>is</w:t>
      </w:r>
      <w:r w:rsidRPr="002B4A29">
        <w:rPr>
          <w:sz w:val="24"/>
          <w:szCs w:val="24"/>
        </w:rPr>
        <w:t xml:space="preserve"> an invitation to move from shared recognition to practical action, proportionate to each organisation's role and resources. </w:t>
      </w:r>
    </w:p>
    <w:sectPr w:rsidR="009B1DD9" w:rsidRPr="002B4A29" w:rsidSect="00034616">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C66A7C04"/>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77F2007"/>
    <w:multiLevelType w:val="hybridMultilevel"/>
    <w:tmpl w:val="A52E844E"/>
    <w:lvl w:ilvl="0" w:tplc="31503672">
      <w:start w:val="1"/>
      <w:numFmt w:val="bullet"/>
      <w:pStyle w:val="List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057341"/>
    <w:multiLevelType w:val="hybridMultilevel"/>
    <w:tmpl w:val="65225F62"/>
    <w:lvl w:ilvl="0" w:tplc="0809000F">
      <w:start w:val="1"/>
      <w:numFmt w:val="decimal"/>
      <w:lvlText w:val="%1."/>
      <w:lvlJc w:val="left"/>
      <w:pPr>
        <w:tabs>
          <w:tab w:val="num" w:pos="360"/>
        </w:tabs>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43548171">
    <w:abstractNumId w:val="8"/>
  </w:num>
  <w:num w:numId="2" w16cid:durableId="608050810">
    <w:abstractNumId w:val="6"/>
  </w:num>
  <w:num w:numId="3" w16cid:durableId="480512033">
    <w:abstractNumId w:val="5"/>
  </w:num>
  <w:num w:numId="4" w16cid:durableId="1732728760">
    <w:abstractNumId w:val="4"/>
  </w:num>
  <w:num w:numId="5" w16cid:durableId="1740328738">
    <w:abstractNumId w:val="7"/>
  </w:num>
  <w:num w:numId="6" w16cid:durableId="1742947208">
    <w:abstractNumId w:val="3"/>
  </w:num>
  <w:num w:numId="7" w16cid:durableId="147063029">
    <w:abstractNumId w:val="2"/>
  </w:num>
  <w:num w:numId="8" w16cid:durableId="495220052">
    <w:abstractNumId w:val="1"/>
  </w:num>
  <w:num w:numId="9" w16cid:durableId="2055813009">
    <w:abstractNumId w:val="0"/>
  </w:num>
  <w:num w:numId="10" w16cid:durableId="498082534">
    <w:abstractNumId w:val="9"/>
  </w:num>
  <w:num w:numId="11" w16cid:durableId="1171337873">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2944"/>
    <w:rsid w:val="00034616"/>
    <w:rsid w:val="00051AA2"/>
    <w:rsid w:val="0006063C"/>
    <w:rsid w:val="000928F8"/>
    <w:rsid w:val="0015074B"/>
    <w:rsid w:val="001B5DD2"/>
    <w:rsid w:val="0029639D"/>
    <w:rsid w:val="002B4A29"/>
    <w:rsid w:val="00326F90"/>
    <w:rsid w:val="003310F9"/>
    <w:rsid w:val="00403E1F"/>
    <w:rsid w:val="00563058"/>
    <w:rsid w:val="005D4383"/>
    <w:rsid w:val="00621160"/>
    <w:rsid w:val="006D1DDC"/>
    <w:rsid w:val="007176A9"/>
    <w:rsid w:val="00723A1B"/>
    <w:rsid w:val="007A4A26"/>
    <w:rsid w:val="00871C15"/>
    <w:rsid w:val="009B1DD9"/>
    <w:rsid w:val="009E7ACE"/>
    <w:rsid w:val="00AA1D8D"/>
    <w:rsid w:val="00AA7CBC"/>
    <w:rsid w:val="00AB7B28"/>
    <w:rsid w:val="00AD675F"/>
    <w:rsid w:val="00B47730"/>
    <w:rsid w:val="00BB2E5D"/>
    <w:rsid w:val="00C86427"/>
    <w:rsid w:val="00CB0664"/>
    <w:rsid w:val="00CD29F4"/>
    <w:rsid w:val="00FA745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68A6D7FE-65D8-4BAA-BCA0-C364EB549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0"/>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61278c30-91a8-4c31-8c1f-ef4de8973a1c}" enabled="0" method="" siteId="{61278c30-91a8-4c31-8c1f-ef4de8973a1c}"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345</Words>
  <Characters>1969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Anna McNeil</cp:lastModifiedBy>
  <cp:revision>2</cp:revision>
  <dcterms:created xsi:type="dcterms:W3CDTF">2026-09-01T14:24:00Z</dcterms:created>
  <dcterms:modified xsi:type="dcterms:W3CDTF">2026-09-01T14:24:00Z</dcterms:modified>
  <cp:category/>
</cp:coreProperties>
</file>